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40.xml" ContentType="application/vnd.openxmlformats-officedocument.drawingml.chart+xml"/>
  <Override PartName="/word/charts/colors40.xml" ContentType="application/vnd.ms-office.chartcolorstyle+xml"/>
  <Override PartName="/word/charts/style4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B6FECC" w14:textId="77777777" w:rsidR="00CB76AF" w:rsidRPr="00466029" w:rsidRDefault="00CB76AF" w:rsidP="00CB76AF">
      <w:pPr>
        <w:jc w:val="center"/>
        <w:rPr>
          <w:rFonts w:ascii="Arial" w:hAnsi="Arial" w:cs="Arial"/>
          <w:b/>
          <w:sz w:val="28"/>
          <w:szCs w:val="24"/>
        </w:rPr>
      </w:pPr>
      <w:r w:rsidRPr="00466029">
        <w:rPr>
          <w:rFonts w:ascii="Arial" w:hAnsi="Arial" w:cs="Arial"/>
          <w:b/>
          <w:sz w:val="28"/>
          <w:szCs w:val="24"/>
        </w:rPr>
        <w:t>ESTRATEGIA DE EDUCACIÓN SOBRE NORMAS DE BIOSEGURIDAD Y SANEAMIENTO AMBIENTAL EN EL MERCADO MUNICIPAL DE BAHÍA DE CARÁQUEZ EN TIEMPO DE COVID-19</w:t>
      </w:r>
    </w:p>
    <w:p w14:paraId="50EFF9AD" w14:textId="384CFD4F" w:rsidR="00B12D4C" w:rsidRPr="00466029" w:rsidRDefault="00B33F8B" w:rsidP="00B33F8B">
      <w:pPr>
        <w:spacing w:before="120" w:after="0" w:line="240" w:lineRule="auto"/>
        <w:jc w:val="center"/>
        <w:rPr>
          <w:rFonts w:ascii="Arial" w:eastAsia="Times New Roman" w:hAnsi="Arial" w:cs="Arial"/>
          <w:bCs/>
          <w:color w:val="000000"/>
        </w:rPr>
      </w:pPr>
      <w:r w:rsidRPr="00466029">
        <w:rPr>
          <w:rFonts w:ascii="Arial" w:eastAsia="Times New Roman" w:hAnsi="Arial" w:cs="Arial"/>
          <w:bCs/>
          <w:color w:val="000000"/>
        </w:rPr>
        <w:t>Autora.  Carla Elizabeth Gómez Salazar</w:t>
      </w:r>
    </w:p>
    <w:p w14:paraId="0A84EE94" w14:textId="77777777" w:rsidR="00B33F8B" w:rsidRPr="00466029" w:rsidRDefault="00B33F8B" w:rsidP="00B33F8B">
      <w:pPr>
        <w:spacing w:line="240" w:lineRule="auto"/>
        <w:jc w:val="center"/>
      </w:pPr>
      <w:r w:rsidRPr="00466029">
        <w:t>Coautor. Ana María Aveiga Ortiz - Fabían Fabricio Peñarrieta Macías</w:t>
      </w:r>
    </w:p>
    <w:p w14:paraId="65E3854B" w14:textId="0DF2DF13" w:rsidR="00A93866" w:rsidRPr="00466029" w:rsidRDefault="00BF7502" w:rsidP="00A93866">
      <w:pPr>
        <w:spacing w:line="240" w:lineRule="auto"/>
        <w:jc w:val="center"/>
      </w:pPr>
      <w:hyperlink r:id="rId8" w:history="1">
        <w:r w:rsidR="00A93866" w:rsidRPr="00466029">
          <w:rPr>
            <w:rStyle w:val="Hipervnculo"/>
          </w:rPr>
          <w:t>careli-12@outlook.es</w:t>
        </w:r>
      </w:hyperlink>
    </w:p>
    <w:p w14:paraId="6A395957" w14:textId="647D859B" w:rsidR="00043583" w:rsidRPr="00466029" w:rsidRDefault="00043583" w:rsidP="00466029">
      <w:pPr>
        <w:spacing w:line="240" w:lineRule="auto"/>
        <w:rPr>
          <w:sz w:val="18"/>
        </w:rPr>
      </w:pPr>
      <w:r w:rsidRPr="00466029">
        <w:rPr>
          <w:rFonts w:ascii="Arial" w:hAnsi="Arial" w:cs="Arial"/>
          <w:b/>
          <w:sz w:val="24"/>
          <w:szCs w:val="32"/>
        </w:rPr>
        <w:t>RESUMEN</w:t>
      </w:r>
    </w:p>
    <w:p w14:paraId="35255DFC" w14:textId="77777777" w:rsidR="00043583" w:rsidRDefault="00043583" w:rsidP="00466029">
      <w:pPr>
        <w:spacing w:line="276" w:lineRule="auto"/>
        <w:jc w:val="both"/>
        <w:rPr>
          <w:rFonts w:ascii="Arial" w:hAnsi="Arial" w:cs="Arial"/>
          <w:sz w:val="24"/>
          <w:szCs w:val="24"/>
        </w:rPr>
      </w:pPr>
      <w:r w:rsidRPr="00043583">
        <w:rPr>
          <w:rFonts w:ascii="Arial" w:hAnsi="Arial" w:cs="Arial"/>
          <w:sz w:val="24"/>
          <w:szCs w:val="24"/>
          <w:lang w:val="es-ES"/>
        </w:rPr>
        <w:t>La investigación consistió en la aplicación de una estrategia de educación sobre normas de bioseguridad y saneamiento ambiental</w:t>
      </w:r>
      <w:r w:rsidRPr="00043583">
        <w:rPr>
          <w:rFonts w:ascii="Arial" w:hAnsi="Arial" w:cs="Arial"/>
          <w:sz w:val="24"/>
          <w:szCs w:val="24"/>
        </w:rPr>
        <w:t xml:space="preserve"> en el mercado municipal de Bahía de Caráquez en tiempos de COVID-19. Se identificó que el mercado municipal cuenta con seis secciones de expendio, laboran 25 personas, de las cuales el 88% tienen un rango de edad entre 31-50 años y el 12 % entre 26-30, dedicándose a actividades de registro e ingreso al mercado, aseo del local, expendio de productos, organización de producto para el cierre del negocio. El diagnóstico determinó que el 72% de los trabajadores del mercado municipal tienen bajo conocimiento sobre las normas de bioseguridad y saneamiento ambiental, </w:t>
      </w:r>
      <w:r w:rsidRPr="00043583">
        <w:rPr>
          <w:rFonts w:ascii="Arial" w:eastAsia="Times New Roman" w:hAnsi="Arial" w:cs="Arial"/>
          <w:sz w:val="24"/>
          <w:szCs w:val="24"/>
          <w:lang w:val="es-MX"/>
        </w:rPr>
        <w:t xml:space="preserve">el </w:t>
      </w:r>
      <w:r w:rsidRPr="00043583">
        <w:rPr>
          <w:rFonts w:ascii="Arial" w:hAnsi="Arial" w:cs="Arial"/>
          <w:sz w:val="24"/>
          <w:szCs w:val="24"/>
        </w:rPr>
        <w:t>24% tiene un alto conocimiento y el 4% muy alto. En relación al comportamiento el 36% de los trabajadores realizan acciones acordes a la temática abordada</w:t>
      </w:r>
      <w:r w:rsidRPr="00043583">
        <w:rPr>
          <w:rFonts w:ascii="Arial" w:hAnsi="Arial" w:cs="Arial"/>
          <w:bCs/>
          <w:sz w:val="24"/>
          <w:szCs w:val="24"/>
        </w:rPr>
        <w:t xml:space="preserve">. Se utilizó la estrategia edumedia-comunicación </w:t>
      </w:r>
      <w:r w:rsidRPr="00043583">
        <w:rPr>
          <w:rFonts w:ascii="Arial" w:hAnsi="Arial" w:cs="Arial"/>
          <w:sz w:val="24"/>
          <w:szCs w:val="24"/>
        </w:rPr>
        <w:t xml:space="preserve">en la impartición de Charlas y proyección de videos de la plataforma de You Tube y National Geographic sobre (cómo se contagia la comunidad por Covid-19, correcto lavado de manos y coronavirus alerta ambiental), se reflejó que el 60% de los participantes presentaron un conocimiento alto y el 68% un comportamiento aceptable, existiendo diferencia significativa antes y después de la aplicación de la estrategia. La </w:t>
      </w:r>
      <w:r w:rsidRPr="00043583">
        <w:rPr>
          <w:rFonts w:ascii="Arial" w:hAnsi="Arial" w:cs="Arial"/>
          <w:noProof/>
          <w:sz w:val="24"/>
          <w:szCs w:val="24"/>
        </w:rPr>
        <w:t xml:space="preserve">matriz con propuestas alternativas de fortalecimiento se realizo en función del FODA, elaborandose una </w:t>
      </w:r>
      <w:r w:rsidRPr="00043583">
        <w:rPr>
          <w:rFonts w:ascii="Arial" w:hAnsi="Arial" w:cs="Arial"/>
          <w:sz w:val="24"/>
          <w:szCs w:val="24"/>
        </w:rPr>
        <w:t>guía para la aplicación de normas de bioseguridad y saneamiento ambiental, se concluye que el empleo de estrategia aportó al conocimiento y comportamiento de expendedores del mercado municipal.</w:t>
      </w:r>
    </w:p>
    <w:p w14:paraId="65A59C31" w14:textId="5D5A8E4D" w:rsidR="00A93866" w:rsidRDefault="00A93866" w:rsidP="00A93866">
      <w:pPr>
        <w:spacing w:line="276" w:lineRule="auto"/>
        <w:jc w:val="both"/>
        <w:rPr>
          <w:rFonts w:ascii="Arial" w:hAnsi="Arial" w:cs="Arial"/>
          <w:sz w:val="24"/>
          <w:szCs w:val="24"/>
        </w:rPr>
      </w:pPr>
      <w:bookmarkStart w:id="0" w:name="_GoBack"/>
      <w:r w:rsidRPr="00466029">
        <w:rPr>
          <w:rFonts w:ascii="Arial" w:hAnsi="Arial" w:cs="Arial"/>
          <w:b/>
          <w:sz w:val="24"/>
          <w:szCs w:val="24"/>
        </w:rPr>
        <w:t>Palabras claves:</w:t>
      </w:r>
      <w:r>
        <w:rPr>
          <w:rFonts w:ascii="Arial" w:hAnsi="Arial" w:cs="Arial"/>
          <w:sz w:val="24"/>
          <w:szCs w:val="24"/>
        </w:rPr>
        <w:t xml:space="preserve"> </w:t>
      </w:r>
      <w:bookmarkEnd w:id="0"/>
      <w:r>
        <w:rPr>
          <w:rFonts w:ascii="Arial" w:hAnsi="Arial" w:cs="Arial"/>
          <w:sz w:val="24"/>
          <w:szCs w:val="24"/>
        </w:rPr>
        <w:t>Bioseguridad, saneamiento ambiental, conocimiento.</w:t>
      </w:r>
    </w:p>
    <w:p w14:paraId="1D65E1FD" w14:textId="77777777" w:rsidR="00A93866" w:rsidRDefault="00A93866" w:rsidP="00A93866">
      <w:pPr>
        <w:spacing w:line="276" w:lineRule="auto"/>
        <w:jc w:val="both"/>
        <w:rPr>
          <w:rFonts w:ascii="Arial" w:hAnsi="Arial" w:cs="Arial"/>
          <w:sz w:val="24"/>
          <w:szCs w:val="24"/>
        </w:rPr>
      </w:pPr>
    </w:p>
    <w:p w14:paraId="689B66BF" w14:textId="77777777" w:rsidR="00A93866" w:rsidRDefault="00A93866" w:rsidP="00A93866">
      <w:pPr>
        <w:spacing w:line="276" w:lineRule="auto"/>
        <w:jc w:val="both"/>
        <w:rPr>
          <w:rFonts w:ascii="Arial" w:hAnsi="Arial" w:cs="Arial"/>
          <w:sz w:val="24"/>
          <w:szCs w:val="24"/>
        </w:rPr>
      </w:pPr>
    </w:p>
    <w:p w14:paraId="2CC1A44D" w14:textId="77777777" w:rsidR="00A93866" w:rsidRDefault="00A93866" w:rsidP="00A93866">
      <w:pPr>
        <w:spacing w:line="276" w:lineRule="auto"/>
        <w:jc w:val="both"/>
        <w:rPr>
          <w:rFonts w:ascii="Arial" w:hAnsi="Arial" w:cs="Arial"/>
          <w:sz w:val="24"/>
          <w:szCs w:val="24"/>
        </w:rPr>
      </w:pPr>
    </w:p>
    <w:p w14:paraId="1BC8DB91" w14:textId="77777777" w:rsidR="00A93866" w:rsidRDefault="00A93866" w:rsidP="00A93866">
      <w:pPr>
        <w:spacing w:line="276" w:lineRule="auto"/>
        <w:jc w:val="both"/>
        <w:rPr>
          <w:rFonts w:ascii="Arial" w:hAnsi="Arial" w:cs="Arial"/>
          <w:sz w:val="24"/>
          <w:szCs w:val="24"/>
        </w:rPr>
      </w:pPr>
    </w:p>
    <w:p w14:paraId="039C08FF" w14:textId="77777777" w:rsidR="00A93866" w:rsidRDefault="00A93866" w:rsidP="00A93866">
      <w:pPr>
        <w:spacing w:line="276" w:lineRule="auto"/>
        <w:jc w:val="both"/>
        <w:rPr>
          <w:rFonts w:ascii="Arial" w:hAnsi="Arial" w:cs="Arial"/>
          <w:sz w:val="24"/>
          <w:szCs w:val="24"/>
        </w:rPr>
      </w:pPr>
    </w:p>
    <w:p w14:paraId="1411BE69" w14:textId="77777777" w:rsidR="00A93866" w:rsidRDefault="00A93866" w:rsidP="00A93866">
      <w:pPr>
        <w:spacing w:line="276" w:lineRule="auto"/>
        <w:jc w:val="both"/>
        <w:rPr>
          <w:rFonts w:ascii="Arial" w:hAnsi="Arial" w:cs="Arial"/>
          <w:sz w:val="24"/>
          <w:szCs w:val="24"/>
        </w:rPr>
      </w:pPr>
    </w:p>
    <w:p w14:paraId="07C27639" w14:textId="77777777" w:rsidR="00A93866" w:rsidRDefault="00A93866" w:rsidP="00A93866">
      <w:pPr>
        <w:spacing w:line="276" w:lineRule="auto"/>
        <w:jc w:val="both"/>
        <w:rPr>
          <w:rFonts w:ascii="Arial" w:hAnsi="Arial" w:cs="Arial"/>
          <w:sz w:val="24"/>
          <w:szCs w:val="24"/>
        </w:rPr>
      </w:pPr>
    </w:p>
    <w:p w14:paraId="53D00975" w14:textId="77777777" w:rsidR="00A93866" w:rsidRPr="00043583" w:rsidRDefault="00A93866" w:rsidP="00A93866">
      <w:pPr>
        <w:spacing w:line="276" w:lineRule="auto"/>
        <w:jc w:val="both"/>
        <w:rPr>
          <w:rFonts w:ascii="Arial" w:hAnsi="Arial" w:cs="Arial"/>
          <w:sz w:val="24"/>
          <w:szCs w:val="24"/>
        </w:rPr>
      </w:pPr>
    </w:p>
    <w:p w14:paraId="5452D73A" w14:textId="32B187B9" w:rsidR="00DA2920" w:rsidRPr="00F11F29" w:rsidRDefault="00C7611B" w:rsidP="00F11F29">
      <w:pPr>
        <w:spacing w:line="360" w:lineRule="auto"/>
        <w:jc w:val="center"/>
        <w:rPr>
          <w:rFonts w:ascii="Arial" w:hAnsi="Arial" w:cs="Arial"/>
          <w:b/>
          <w:sz w:val="32"/>
          <w:szCs w:val="32"/>
        </w:rPr>
      </w:pPr>
      <w:r w:rsidRPr="00C7611B">
        <w:rPr>
          <w:rFonts w:ascii="Arial" w:hAnsi="Arial" w:cs="Arial"/>
          <w:b/>
          <w:bCs/>
          <w:sz w:val="32"/>
          <w:szCs w:val="32"/>
        </w:rPr>
        <w:t>INTRODUCCIÓN</w:t>
      </w:r>
    </w:p>
    <w:p w14:paraId="79D5AA96" w14:textId="615201E7" w:rsidR="00C7611B" w:rsidRDefault="00C7611B" w:rsidP="00C7611B">
      <w:pPr>
        <w:spacing w:line="360" w:lineRule="auto"/>
        <w:jc w:val="both"/>
        <w:rPr>
          <w:rFonts w:ascii="Arial" w:hAnsi="Arial" w:cs="Arial"/>
          <w:sz w:val="24"/>
          <w:szCs w:val="24"/>
        </w:rPr>
      </w:pPr>
      <w:r w:rsidRPr="00C7611B">
        <w:rPr>
          <w:rFonts w:ascii="Arial" w:hAnsi="Arial" w:cs="Arial"/>
          <w:noProof/>
          <w:sz w:val="24"/>
          <w:szCs w:val="24"/>
          <w:lang w:val="es-ES"/>
        </w:rPr>
        <w:t xml:space="preserve">Según Vinueza (2021) </w:t>
      </w:r>
      <w:r w:rsidRPr="00C7611B">
        <w:rPr>
          <w:rFonts w:ascii="Arial" w:hAnsi="Arial" w:cs="Arial"/>
          <w:sz w:val="24"/>
          <w:szCs w:val="24"/>
        </w:rPr>
        <w:t xml:space="preserve">a mediados del siglo XIX, los mercados municipales en la mayoría de ciudades son el resultado de una tradición histórica de siglos, que ha ido evolucionando desde plazas y ferias hasta la consolidación de espacios gestionados por la administración pública, que han sido objetos de críticas por su deficiente mantenimiento, grado de limpieza e higiene y por la inadecuada atención brindada por los vendedores. </w:t>
      </w:r>
    </w:p>
    <w:p w14:paraId="3CBE7642" w14:textId="1B1A2634" w:rsidR="00D94E71" w:rsidRDefault="00D94E71" w:rsidP="00D94E71">
      <w:pPr>
        <w:spacing w:line="360" w:lineRule="auto"/>
        <w:jc w:val="both"/>
        <w:rPr>
          <w:rFonts w:ascii="Arial" w:hAnsi="Arial" w:cs="Arial"/>
          <w:sz w:val="24"/>
          <w:szCs w:val="24"/>
        </w:rPr>
      </w:pPr>
      <w:r w:rsidRPr="00D94E71">
        <w:rPr>
          <w:rFonts w:ascii="Arial" w:hAnsi="Arial" w:cs="Arial"/>
          <w:sz w:val="24"/>
          <w:szCs w:val="24"/>
        </w:rPr>
        <w:t>El desconocimiento sobre normas de bioseguridad e higiene por parte de los trabajadores en diferentes establecimientos municipales, son la causa del transporte de cepas microbiológicas y sustancias químicas capaces de generar enfermedades infecciosas, que ponen en riesgo la salud</w:t>
      </w:r>
      <w:sdt>
        <w:sdtPr>
          <w:rPr>
            <w:rFonts w:ascii="Arial" w:hAnsi="Arial" w:cs="Arial"/>
            <w:sz w:val="24"/>
            <w:szCs w:val="24"/>
          </w:rPr>
          <w:id w:val="-396904262"/>
          <w:citation/>
        </w:sdtPr>
        <w:sdtEndPr/>
        <w:sdtContent>
          <w:r w:rsidRPr="00D94E71">
            <w:rPr>
              <w:rFonts w:ascii="Arial" w:hAnsi="Arial" w:cs="Arial"/>
              <w:sz w:val="24"/>
              <w:szCs w:val="24"/>
            </w:rPr>
            <w:fldChar w:fldCharType="begin"/>
          </w:r>
          <w:r w:rsidRPr="00D94E71">
            <w:rPr>
              <w:rFonts w:ascii="Arial" w:hAnsi="Arial" w:cs="Arial"/>
              <w:sz w:val="24"/>
              <w:szCs w:val="24"/>
              <w:lang w:val="es-ES"/>
            </w:rPr>
            <w:instrText xml:space="preserve"> CITATION Pér17 \l 3082 </w:instrText>
          </w:r>
          <w:r w:rsidRPr="00D94E71">
            <w:rPr>
              <w:rFonts w:ascii="Arial" w:hAnsi="Arial" w:cs="Arial"/>
              <w:sz w:val="24"/>
              <w:szCs w:val="24"/>
            </w:rPr>
            <w:fldChar w:fldCharType="separate"/>
          </w:r>
          <w:r w:rsidRPr="00D94E71">
            <w:rPr>
              <w:rFonts w:ascii="Arial" w:hAnsi="Arial" w:cs="Arial"/>
              <w:noProof/>
              <w:sz w:val="24"/>
              <w:szCs w:val="24"/>
              <w:lang w:val="es-ES"/>
            </w:rPr>
            <w:t xml:space="preserve"> (Pérez, 2017)</w:t>
          </w:r>
          <w:r w:rsidRPr="00D94E71">
            <w:rPr>
              <w:rFonts w:ascii="Arial" w:hAnsi="Arial" w:cs="Arial"/>
              <w:sz w:val="24"/>
              <w:szCs w:val="24"/>
            </w:rPr>
            <w:fldChar w:fldCharType="end"/>
          </w:r>
        </w:sdtContent>
      </w:sdt>
      <w:r w:rsidRPr="00D94E71">
        <w:rPr>
          <w:rFonts w:ascii="Arial" w:hAnsi="Arial" w:cs="Arial"/>
          <w:sz w:val="24"/>
          <w:szCs w:val="24"/>
        </w:rPr>
        <w:t xml:space="preserve">. Razón por la cual los mercados municipales, han empezado a integrar medidas de carácter ambiental y sanitario en su actividad cotidiana, estableciendo estrategias que mejoran la imagen y la gestión sanitaria </w:t>
      </w:r>
      <w:sdt>
        <w:sdtPr>
          <w:rPr>
            <w:rFonts w:ascii="Arial" w:hAnsi="Arial" w:cs="Arial"/>
            <w:sz w:val="24"/>
            <w:szCs w:val="24"/>
          </w:rPr>
          <w:id w:val="-212196567"/>
          <w:citation/>
        </w:sdtPr>
        <w:sdtEndPr/>
        <w:sdtContent>
          <w:r w:rsidRPr="00D94E71">
            <w:rPr>
              <w:rFonts w:ascii="Arial" w:hAnsi="Arial" w:cs="Arial"/>
              <w:sz w:val="24"/>
              <w:szCs w:val="24"/>
            </w:rPr>
            <w:fldChar w:fldCharType="begin"/>
          </w:r>
          <w:r w:rsidRPr="00D94E71">
            <w:rPr>
              <w:rFonts w:ascii="Arial" w:hAnsi="Arial" w:cs="Arial"/>
              <w:sz w:val="24"/>
              <w:szCs w:val="24"/>
              <w:lang w:val="es-ES"/>
            </w:rPr>
            <w:instrText xml:space="preserve"> CITATION Vla11 \l 3082 </w:instrText>
          </w:r>
          <w:r w:rsidRPr="00D94E71">
            <w:rPr>
              <w:rFonts w:ascii="Arial" w:hAnsi="Arial" w:cs="Arial"/>
              <w:sz w:val="24"/>
              <w:szCs w:val="24"/>
            </w:rPr>
            <w:fldChar w:fldCharType="separate"/>
          </w:r>
          <w:r w:rsidRPr="00D94E71">
            <w:rPr>
              <w:rFonts w:ascii="Arial" w:hAnsi="Arial" w:cs="Arial"/>
              <w:noProof/>
              <w:sz w:val="24"/>
              <w:szCs w:val="24"/>
              <w:lang w:val="es-ES"/>
            </w:rPr>
            <w:t>(Vladimir , 2011)</w:t>
          </w:r>
          <w:r w:rsidRPr="00D94E71">
            <w:rPr>
              <w:rFonts w:ascii="Arial" w:hAnsi="Arial" w:cs="Arial"/>
              <w:sz w:val="24"/>
              <w:szCs w:val="24"/>
            </w:rPr>
            <w:fldChar w:fldCharType="end"/>
          </w:r>
        </w:sdtContent>
      </w:sdt>
      <w:r w:rsidRPr="00D94E71">
        <w:rPr>
          <w:rFonts w:ascii="Arial" w:hAnsi="Arial" w:cs="Arial"/>
          <w:sz w:val="24"/>
          <w:szCs w:val="24"/>
        </w:rPr>
        <w:t xml:space="preserve">. </w:t>
      </w:r>
    </w:p>
    <w:p w14:paraId="0C536D7C" w14:textId="6734D8C5" w:rsidR="00D94E71" w:rsidRDefault="00D94E71" w:rsidP="00D94E71">
      <w:pPr>
        <w:spacing w:line="360" w:lineRule="auto"/>
        <w:jc w:val="both"/>
        <w:rPr>
          <w:rFonts w:ascii="Arial" w:hAnsi="Arial" w:cs="Arial"/>
          <w:sz w:val="24"/>
          <w:szCs w:val="28"/>
        </w:rPr>
      </w:pPr>
      <w:r w:rsidRPr="00D94E71">
        <w:rPr>
          <w:rFonts w:ascii="Arial" w:hAnsi="Arial" w:cs="Arial"/>
          <w:sz w:val="24"/>
          <w:szCs w:val="24"/>
        </w:rPr>
        <w:t xml:space="preserve">Actualmente, son múltiples los problemas sanitarios que se producen por la falta de cumplimiento de las normas de bioseguridad y que ponen en peligro la salud de los ciudadanos y el medio ambiente </w:t>
      </w:r>
      <w:sdt>
        <w:sdtPr>
          <w:rPr>
            <w:rFonts w:ascii="Arial" w:hAnsi="Arial" w:cs="Arial"/>
            <w:sz w:val="24"/>
            <w:szCs w:val="24"/>
          </w:rPr>
          <w:id w:val="-1051460364"/>
          <w:citation/>
        </w:sdtPr>
        <w:sdtEndPr/>
        <w:sdtContent>
          <w:r w:rsidRPr="00D94E71">
            <w:rPr>
              <w:rFonts w:ascii="Arial" w:hAnsi="Arial" w:cs="Arial"/>
              <w:sz w:val="24"/>
              <w:szCs w:val="24"/>
            </w:rPr>
            <w:fldChar w:fldCharType="begin"/>
          </w:r>
          <w:r w:rsidRPr="00D94E71">
            <w:rPr>
              <w:rFonts w:ascii="Arial" w:hAnsi="Arial" w:cs="Arial"/>
              <w:sz w:val="24"/>
              <w:szCs w:val="24"/>
              <w:lang w:val="es-ES"/>
            </w:rPr>
            <w:instrText xml:space="preserve"> CITATION Vil20 \l 3082 </w:instrText>
          </w:r>
          <w:r w:rsidRPr="00D94E71">
            <w:rPr>
              <w:rFonts w:ascii="Arial" w:hAnsi="Arial" w:cs="Arial"/>
              <w:sz w:val="24"/>
              <w:szCs w:val="24"/>
            </w:rPr>
            <w:fldChar w:fldCharType="separate"/>
          </w:r>
          <w:r w:rsidRPr="00D94E71">
            <w:rPr>
              <w:rFonts w:ascii="Arial" w:hAnsi="Arial" w:cs="Arial"/>
              <w:noProof/>
              <w:sz w:val="24"/>
              <w:szCs w:val="24"/>
              <w:lang w:val="es-ES"/>
            </w:rPr>
            <w:t>(Villa, 2020)</w:t>
          </w:r>
          <w:r w:rsidRPr="00D94E71">
            <w:rPr>
              <w:rFonts w:ascii="Arial" w:hAnsi="Arial" w:cs="Arial"/>
              <w:sz w:val="24"/>
              <w:szCs w:val="24"/>
            </w:rPr>
            <w:fldChar w:fldCharType="end"/>
          </w:r>
        </w:sdtContent>
      </w:sdt>
      <w:r w:rsidRPr="00D94E71">
        <w:rPr>
          <w:rFonts w:ascii="Arial" w:hAnsi="Arial" w:cs="Arial"/>
          <w:sz w:val="24"/>
          <w:szCs w:val="24"/>
        </w:rPr>
        <w:t>. Los mercados municipales son establecimientos con mayor riesgo de contagios por SARS CoV-2 , en la ciudad de Lima se han asociado a una incidencia y mortalidad más elevadas por COVID-19</w:t>
      </w:r>
      <w:sdt>
        <w:sdtPr>
          <w:rPr>
            <w:rFonts w:ascii="Arial" w:hAnsi="Arial" w:cs="Arial"/>
            <w:sz w:val="24"/>
            <w:szCs w:val="24"/>
          </w:rPr>
          <w:id w:val="2071228819"/>
          <w:citation/>
        </w:sdtPr>
        <w:sdtEndPr/>
        <w:sdtContent>
          <w:r w:rsidRPr="00D94E71">
            <w:rPr>
              <w:rFonts w:ascii="Arial" w:hAnsi="Arial" w:cs="Arial"/>
              <w:sz w:val="24"/>
              <w:szCs w:val="24"/>
            </w:rPr>
            <w:fldChar w:fldCharType="begin"/>
          </w:r>
          <w:r w:rsidRPr="00D94E71">
            <w:rPr>
              <w:rFonts w:ascii="Arial" w:hAnsi="Arial" w:cs="Arial"/>
              <w:sz w:val="24"/>
              <w:szCs w:val="24"/>
            </w:rPr>
            <w:instrText xml:space="preserve"> CITATION Org21 \l 12298 </w:instrText>
          </w:r>
          <w:r w:rsidRPr="00D94E71">
            <w:rPr>
              <w:rFonts w:ascii="Arial" w:hAnsi="Arial" w:cs="Arial"/>
              <w:sz w:val="24"/>
              <w:szCs w:val="24"/>
            </w:rPr>
            <w:fldChar w:fldCharType="separate"/>
          </w:r>
          <w:r w:rsidRPr="00D94E71">
            <w:rPr>
              <w:rFonts w:ascii="Arial" w:hAnsi="Arial" w:cs="Arial"/>
              <w:noProof/>
              <w:sz w:val="24"/>
              <w:szCs w:val="24"/>
            </w:rPr>
            <w:t>(Organización Panoamerica de la Salud [OPS], 2021)</w:t>
          </w:r>
          <w:r w:rsidRPr="00D94E71">
            <w:rPr>
              <w:rFonts w:ascii="Arial" w:hAnsi="Arial" w:cs="Arial"/>
              <w:sz w:val="24"/>
              <w:szCs w:val="24"/>
            </w:rPr>
            <w:fldChar w:fldCharType="end"/>
          </w:r>
        </w:sdtContent>
      </w:sdt>
      <w:r w:rsidRPr="00D94E71">
        <w:rPr>
          <w:rFonts w:ascii="Arial" w:hAnsi="Arial" w:cs="Arial"/>
          <w:sz w:val="24"/>
          <w:szCs w:val="24"/>
        </w:rPr>
        <w:t xml:space="preserve">,ya que </w:t>
      </w:r>
      <w:r w:rsidRPr="00D94E71">
        <w:rPr>
          <w:rFonts w:ascii="Arial" w:hAnsi="Arial" w:cs="Arial"/>
          <w:sz w:val="24"/>
          <w:szCs w:val="28"/>
        </w:rPr>
        <w:t xml:space="preserve">el 80 % de los comerciantes de centros de abastos presenta esta enfermedad </w:t>
      </w:r>
      <w:sdt>
        <w:sdtPr>
          <w:rPr>
            <w:rFonts w:ascii="Arial" w:hAnsi="Arial" w:cs="Arial"/>
            <w:sz w:val="24"/>
            <w:szCs w:val="28"/>
          </w:rPr>
          <w:id w:val="1787775094"/>
          <w:citation/>
        </w:sdtPr>
        <w:sdtEndPr/>
        <w:sdtContent>
          <w:r w:rsidRPr="00D94E71">
            <w:rPr>
              <w:rFonts w:ascii="Arial" w:hAnsi="Arial" w:cs="Arial"/>
              <w:sz w:val="24"/>
              <w:szCs w:val="28"/>
            </w:rPr>
            <w:fldChar w:fldCharType="begin"/>
          </w:r>
          <w:r w:rsidRPr="00D94E71">
            <w:rPr>
              <w:rFonts w:ascii="Arial" w:hAnsi="Arial" w:cs="Arial"/>
              <w:sz w:val="24"/>
              <w:szCs w:val="28"/>
            </w:rPr>
            <w:instrText xml:space="preserve"> CITATION Pig20 \l 12298 </w:instrText>
          </w:r>
          <w:r w:rsidRPr="00D94E71">
            <w:rPr>
              <w:rFonts w:ascii="Arial" w:hAnsi="Arial" w:cs="Arial"/>
              <w:sz w:val="24"/>
              <w:szCs w:val="28"/>
            </w:rPr>
            <w:fldChar w:fldCharType="separate"/>
          </w:r>
          <w:r w:rsidRPr="00D94E71">
            <w:rPr>
              <w:rFonts w:ascii="Arial" w:hAnsi="Arial" w:cs="Arial"/>
              <w:noProof/>
              <w:sz w:val="24"/>
              <w:szCs w:val="28"/>
            </w:rPr>
            <w:t>(Pighi, 2020)</w:t>
          </w:r>
          <w:r w:rsidRPr="00D94E71">
            <w:rPr>
              <w:rFonts w:ascii="Arial" w:hAnsi="Arial" w:cs="Arial"/>
              <w:sz w:val="24"/>
              <w:szCs w:val="28"/>
            </w:rPr>
            <w:fldChar w:fldCharType="end"/>
          </w:r>
        </w:sdtContent>
      </w:sdt>
      <w:r w:rsidRPr="00D94E71">
        <w:rPr>
          <w:rFonts w:ascii="Arial" w:hAnsi="Arial" w:cs="Arial"/>
          <w:sz w:val="24"/>
          <w:szCs w:val="28"/>
        </w:rPr>
        <w:t xml:space="preserve">; y es que, en </w:t>
      </w:r>
      <w:r w:rsidRPr="00D94E71">
        <w:rPr>
          <w:rFonts w:ascii="Arial" w:hAnsi="Arial" w:cs="Arial"/>
          <w:color w:val="000000"/>
          <w:sz w:val="24"/>
          <w:szCs w:val="28"/>
          <w:shd w:val="clear" w:color="auto" w:fill="FFFFFF"/>
        </w:rPr>
        <w:t xml:space="preserve">Lima, en los distritos de San Martín de Porres, San Juan de Lurigancho, Los Olivos, La Victoria, Villa María del Triunfo e Independencia, se reportó un promedio del 50 % </w:t>
      </w:r>
      <w:r w:rsidRPr="00D94E71">
        <w:rPr>
          <w:rFonts w:ascii="Arial" w:hAnsi="Arial" w:cs="Arial"/>
          <w:sz w:val="24"/>
          <w:szCs w:val="28"/>
        </w:rPr>
        <w:t>de infectados con el virus</w:t>
      </w:r>
      <w:sdt>
        <w:sdtPr>
          <w:rPr>
            <w:rFonts w:ascii="Arial" w:hAnsi="Arial" w:cs="Arial"/>
            <w:sz w:val="24"/>
            <w:szCs w:val="28"/>
          </w:rPr>
          <w:id w:val="556512393"/>
          <w:citation/>
        </w:sdtPr>
        <w:sdtEndPr/>
        <w:sdtContent>
          <w:r w:rsidRPr="00D94E71">
            <w:rPr>
              <w:rFonts w:ascii="Arial" w:hAnsi="Arial" w:cs="Arial"/>
              <w:sz w:val="24"/>
              <w:szCs w:val="28"/>
            </w:rPr>
            <w:fldChar w:fldCharType="begin"/>
          </w:r>
          <w:r w:rsidRPr="00D94E71">
            <w:rPr>
              <w:rFonts w:ascii="Arial" w:hAnsi="Arial" w:cs="Arial"/>
              <w:sz w:val="24"/>
              <w:szCs w:val="28"/>
            </w:rPr>
            <w:instrText xml:space="preserve"> CITATION Spu20 \l 12298 </w:instrText>
          </w:r>
          <w:r w:rsidRPr="00D94E71">
            <w:rPr>
              <w:rFonts w:ascii="Arial" w:hAnsi="Arial" w:cs="Arial"/>
              <w:sz w:val="24"/>
              <w:szCs w:val="28"/>
            </w:rPr>
            <w:fldChar w:fldCharType="separate"/>
          </w:r>
          <w:r w:rsidRPr="00D94E71">
            <w:rPr>
              <w:rFonts w:ascii="Arial" w:hAnsi="Arial" w:cs="Arial"/>
              <w:noProof/>
              <w:sz w:val="24"/>
              <w:szCs w:val="28"/>
            </w:rPr>
            <w:t xml:space="preserve"> (Sputnik, 2020)</w:t>
          </w:r>
          <w:r w:rsidRPr="00D94E71">
            <w:rPr>
              <w:rFonts w:ascii="Arial" w:hAnsi="Arial" w:cs="Arial"/>
              <w:sz w:val="24"/>
              <w:szCs w:val="28"/>
            </w:rPr>
            <w:fldChar w:fldCharType="end"/>
          </w:r>
        </w:sdtContent>
      </w:sdt>
      <w:r w:rsidRPr="00D94E71">
        <w:rPr>
          <w:rFonts w:ascii="Arial" w:hAnsi="Arial" w:cs="Arial"/>
          <w:sz w:val="24"/>
          <w:szCs w:val="28"/>
        </w:rPr>
        <w:t xml:space="preserve">. Por otro lado, en Pekín se han reportado 46 casos positivos de COVID-19, en trabajadores en el mercado de Xianfi </w:t>
      </w:r>
      <w:sdt>
        <w:sdtPr>
          <w:rPr>
            <w:rFonts w:ascii="Arial" w:hAnsi="Arial" w:cs="Arial"/>
            <w:sz w:val="24"/>
            <w:szCs w:val="28"/>
          </w:rPr>
          <w:id w:val="-1448231798"/>
          <w:citation/>
        </w:sdtPr>
        <w:sdtEndPr/>
        <w:sdtContent>
          <w:r w:rsidRPr="00D94E71">
            <w:rPr>
              <w:rFonts w:ascii="Arial" w:hAnsi="Arial" w:cs="Arial"/>
              <w:sz w:val="24"/>
              <w:szCs w:val="28"/>
            </w:rPr>
            <w:fldChar w:fldCharType="begin"/>
          </w:r>
          <w:r w:rsidRPr="00D94E71">
            <w:rPr>
              <w:rFonts w:ascii="Arial" w:hAnsi="Arial" w:cs="Arial"/>
              <w:sz w:val="24"/>
              <w:szCs w:val="28"/>
            </w:rPr>
            <w:instrText xml:space="preserve"> CITATION RTV20 \l 12298 </w:instrText>
          </w:r>
          <w:r w:rsidRPr="00D94E71">
            <w:rPr>
              <w:rFonts w:ascii="Arial" w:hAnsi="Arial" w:cs="Arial"/>
              <w:sz w:val="24"/>
              <w:szCs w:val="28"/>
            </w:rPr>
            <w:fldChar w:fldCharType="separate"/>
          </w:r>
          <w:r w:rsidRPr="00D94E71">
            <w:rPr>
              <w:rFonts w:ascii="Arial" w:hAnsi="Arial" w:cs="Arial"/>
              <w:noProof/>
              <w:sz w:val="24"/>
              <w:szCs w:val="28"/>
            </w:rPr>
            <w:t>(RTVE, 2020)</w:t>
          </w:r>
          <w:r w:rsidRPr="00D94E71">
            <w:rPr>
              <w:rFonts w:ascii="Arial" w:hAnsi="Arial" w:cs="Arial"/>
              <w:sz w:val="24"/>
              <w:szCs w:val="28"/>
            </w:rPr>
            <w:fldChar w:fldCharType="end"/>
          </w:r>
        </w:sdtContent>
      </w:sdt>
      <w:r w:rsidRPr="00D94E71">
        <w:rPr>
          <w:rFonts w:ascii="Arial" w:hAnsi="Arial" w:cs="Arial"/>
          <w:sz w:val="24"/>
          <w:szCs w:val="28"/>
        </w:rPr>
        <w:t xml:space="preserve">. Y en la ciudad de Quito - Ecuador el 41% de vendedores de los mercados municipales han estado expuesto al virus </w:t>
      </w:r>
      <w:r w:rsidRPr="00D94E71">
        <w:rPr>
          <w:rFonts w:ascii="Arial" w:hAnsi="Arial" w:cs="Arial"/>
          <w:noProof/>
          <w:sz w:val="24"/>
          <w:szCs w:val="28"/>
        </w:rPr>
        <w:t>(Bravo y Carvajal , 2020)</w:t>
      </w:r>
      <w:r w:rsidRPr="00D94E71">
        <w:rPr>
          <w:rFonts w:ascii="Arial" w:hAnsi="Arial" w:cs="Arial"/>
          <w:sz w:val="24"/>
          <w:szCs w:val="28"/>
        </w:rPr>
        <w:t>.</w:t>
      </w:r>
    </w:p>
    <w:p w14:paraId="7E3B1E6E" w14:textId="5F7FC534" w:rsidR="00C7611B" w:rsidRDefault="00D94E71" w:rsidP="00D94E71">
      <w:pPr>
        <w:spacing w:line="360" w:lineRule="auto"/>
        <w:jc w:val="both"/>
        <w:rPr>
          <w:rFonts w:ascii="Arial" w:hAnsi="Arial" w:cs="Arial"/>
          <w:sz w:val="24"/>
          <w:szCs w:val="24"/>
        </w:rPr>
      </w:pPr>
      <w:r w:rsidRPr="00D94E71">
        <w:rPr>
          <w:rFonts w:ascii="Arial" w:hAnsi="Arial" w:cs="Arial"/>
          <w:sz w:val="24"/>
          <w:szCs w:val="24"/>
        </w:rPr>
        <w:t xml:space="preserve">En este sentido, el Comité de Operaciones de Emergencia Nacional (COE) y la Secretaría General de Comunicación de la Presidencia (SECOM) han estructurado un Plan de Trabajo con todos los Gobiernos Autónomos </w:t>
      </w:r>
      <w:r w:rsidRPr="00D94E71">
        <w:rPr>
          <w:rFonts w:ascii="Arial" w:hAnsi="Arial" w:cs="Arial"/>
          <w:sz w:val="24"/>
          <w:szCs w:val="24"/>
        </w:rPr>
        <w:lastRenderedPageBreak/>
        <w:t>Descentralizados (GAD</w:t>
      </w:r>
      <w:r w:rsidRPr="00D94E71">
        <w:rPr>
          <w:rFonts w:ascii="Arial" w:hAnsi="Arial" w:cs="Arial"/>
          <w:sz w:val="24"/>
          <w:szCs w:val="24"/>
          <w:vertAlign w:val="subscript"/>
        </w:rPr>
        <w:t>s</w:t>
      </w:r>
      <w:r w:rsidRPr="00D94E71">
        <w:rPr>
          <w:rFonts w:ascii="Arial" w:hAnsi="Arial" w:cs="Arial"/>
          <w:sz w:val="24"/>
          <w:szCs w:val="24"/>
        </w:rPr>
        <w:t xml:space="preserve">), el cual estable los lineamientos de control y vigilancia de los mercados, que inicien en sus actividades </w:t>
      </w:r>
      <w:r w:rsidRPr="00D94E71">
        <w:rPr>
          <w:rFonts w:ascii="Arial" w:hAnsi="Arial" w:cs="Arial"/>
          <w:noProof/>
          <w:sz w:val="24"/>
          <w:szCs w:val="24"/>
        </w:rPr>
        <w:t xml:space="preserve">(Barriga </w:t>
      </w:r>
      <w:r w:rsidRPr="00D94E71">
        <w:rPr>
          <w:rFonts w:ascii="Arial" w:hAnsi="Arial" w:cs="Arial"/>
          <w:i/>
          <w:noProof/>
          <w:sz w:val="24"/>
          <w:szCs w:val="24"/>
        </w:rPr>
        <w:t>et al</w:t>
      </w:r>
      <w:r w:rsidRPr="00D94E71">
        <w:rPr>
          <w:rFonts w:ascii="Arial" w:hAnsi="Arial" w:cs="Arial"/>
          <w:noProof/>
          <w:sz w:val="24"/>
          <w:szCs w:val="24"/>
        </w:rPr>
        <w:t>., 2020)</w:t>
      </w:r>
      <w:r w:rsidRPr="00D94E71">
        <w:rPr>
          <w:rFonts w:ascii="Arial" w:hAnsi="Arial" w:cs="Arial"/>
          <w:sz w:val="24"/>
          <w:szCs w:val="24"/>
        </w:rPr>
        <w:t>. A su vez, los GAD</w:t>
      </w:r>
      <w:r w:rsidRPr="00D94E71">
        <w:rPr>
          <w:rFonts w:ascii="Arial" w:hAnsi="Arial" w:cs="Arial"/>
          <w:sz w:val="24"/>
          <w:szCs w:val="24"/>
          <w:vertAlign w:val="subscript"/>
        </w:rPr>
        <w:t>s</w:t>
      </w:r>
      <w:r w:rsidRPr="00D94E71">
        <w:rPr>
          <w:rFonts w:ascii="Arial" w:hAnsi="Arial" w:cs="Arial"/>
          <w:sz w:val="24"/>
          <w:szCs w:val="24"/>
        </w:rPr>
        <w:t xml:space="preserve"> Municipales a través de los Administradores de los Mercados, exigen a los trabajadores de los locales, el cumplimiento de lo establecido en la norma NTE INEN 2687:2013, teniendo como prioridad la prevención de la propagación de COVID-19</w:t>
      </w:r>
      <w:r w:rsidRPr="00D94E71">
        <w:rPr>
          <w:rFonts w:ascii="Arial" w:hAnsi="Arial" w:cs="Arial"/>
          <w:color w:val="FF0000"/>
          <w:sz w:val="24"/>
          <w:szCs w:val="24"/>
        </w:rPr>
        <w:t xml:space="preserve"> </w:t>
      </w:r>
      <w:sdt>
        <w:sdtPr>
          <w:rPr>
            <w:rFonts w:ascii="Arial" w:hAnsi="Arial" w:cs="Arial"/>
            <w:sz w:val="24"/>
            <w:szCs w:val="24"/>
          </w:rPr>
          <w:id w:val="-2099546277"/>
          <w:citation/>
        </w:sdtPr>
        <w:sdtEndPr/>
        <w:sdtContent>
          <w:r w:rsidRPr="00D94E71">
            <w:rPr>
              <w:rFonts w:ascii="Arial" w:hAnsi="Arial" w:cs="Arial"/>
              <w:sz w:val="24"/>
              <w:szCs w:val="24"/>
            </w:rPr>
            <w:fldChar w:fldCharType="begin"/>
          </w:r>
          <w:r w:rsidRPr="00D94E71">
            <w:rPr>
              <w:rFonts w:ascii="Arial" w:hAnsi="Arial" w:cs="Arial"/>
              <w:sz w:val="24"/>
              <w:szCs w:val="24"/>
            </w:rPr>
            <w:instrText xml:space="preserve">CITATION COE20 \l 12298 </w:instrText>
          </w:r>
          <w:r w:rsidRPr="00D94E71">
            <w:rPr>
              <w:rFonts w:ascii="Arial" w:hAnsi="Arial" w:cs="Arial"/>
              <w:sz w:val="24"/>
              <w:szCs w:val="24"/>
            </w:rPr>
            <w:fldChar w:fldCharType="separate"/>
          </w:r>
          <w:r w:rsidRPr="00D94E71">
            <w:rPr>
              <w:rFonts w:ascii="Arial" w:hAnsi="Arial" w:cs="Arial"/>
              <w:noProof/>
              <w:sz w:val="24"/>
              <w:szCs w:val="24"/>
            </w:rPr>
            <w:t>(Comité de Operaciones de Emergencia Nacional [COE] , 2020)</w:t>
          </w:r>
          <w:r w:rsidRPr="00D94E71">
            <w:rPr>
              <w:rFonts w:ascii="Arial" w:hAnsi="Arial" w:cs="Arial"/>
              <w:sz w:val="24"/>
              <w:szCs w:val="24"/>
            </w:rPr>
            <w:fldChar w:fldCharType="end"/>
          </w:r>
        </w:sdtContent>
      </w:sdt>
      <w:r w:rsidR="00BD6362">
        <w:rPr>
          <w:rFonts w:ascii="Arial" w:hAnsi="Arial" w:cs="Arial"/>
          <w:sz w:val="24"/>
          <w:szCs w:val="24"/>
        </w:rPr>
        <w:t>.</w:t>
      </w:r>
    </w:p>
    <w:p w14:paraId="43BD5739" w14:textId="2848CDDA" w:rsidR="00BD6362" w:rsidRDefault="00BD6362" w:rsidP="00D94E71">
      <w:pPr>
        <w:spacing w:line="360" w:lineRule="auto"/>
        <w:jc w:val="both"/>
        <w:rPr>
          <w:rFonts w:ascii="Arial" w:hAnsi="Arial" w:cs="Arial"/>
          <w:sz w:val="24"/>
          <w:szCs w:val="24"/>
        </w:rPr>
      </w:pPr>
      <w:r w:rsidRPr="00BD6362">
        <w:rPr>
          <w:rFonts w:ascii="Arial" w:hAnsi="Arial" w:cs="Arial"/>
          <w:sz w:val="24"/>
          <w:szCs w:val="24"/>
        </w:rPr>
        <w:t xml:space="preserve">Esta investigación se ampara en el Art. 326, numeral 5 de la </w:t>
      </w:r>
      <w:r w:rsidRPr="00BD6362">
        <w:rPr>
          <w:rFonts w:ascii="Arial" w:hAnsi="Arial" w:cs="Arial"/>
          <w:noProof/>
          <w:sz w:val="24"/>
          <w:szCs w:val="24"/>
        </w:rPr>
        <w:t xml:space="preserve">Constitución de la República del Ecuador </w:t>
      </w:r>
      <w:r w:rsidRPr="00BD6362">
        <w:rPr>
          <w:rFonts w:ascii="Arial" w:hAnsi="Arial" w:cs="Arial"/>
          <w:sz w:val="24"/>
          <w:szCs w:val="24"/>
        </w:rPr>
        <w:t xml:space="preserve">(2008) que manifiesta: “Toda persona tendrá derecho a desarrollar sus labores en un ambiente adecuado y propicio, que garantice su salud, integridad, seguridad, higiene y bienestar”; además en el Plan Nacional de Desarrollo 2017- 2021, el cual menciona en el Objetivo 1. Garantiza una vida digna con iguales oportunidades para todas las personas; </w:t>
      </w:r>
      <w:r w:rsidRPr="00BD6362">
        <w:rPr>
          <w:rFonts w:ascii="Arial" w:hAnsi="Arial" w:cs="Arial"/>
          <w:color w:val="000000"/>
          <w:sz w:val="24"/>
          <w:szCs w:val="24"/>
        </w:rPr>
        <w:t xml:space="preserve">de la misma manera la </w:t>
      </w:r>
      <w:r w:rsidRPr="00BD6362">
        <w:rPr>
          <w:rFonts w:ascii="Arial" w:hAnsi="Arial" w:cs="Arial"/>
          <w:sz w:val="24"/>
          <w:szCs w:val="24"/>
        </w:rPr>
        <w:t xml:space="preserve">política 1.6. Garantiza el derecho a la salud, la educación y al cuidado integral durante el ciclo de vida, bajo criterios de accesibilidad, calidad y pertinencia territorial y cultural; ya que la salud se constituye como un componente primordial de una vida digna, pues ésta repercute tanto en el plano individual como en el colectivo, su ausencia puede traer efectos inter-generacionales, por lo que se debe brindar condiciones para el goce de la salud de manera integral </w:t>
      </w:r>
      <w:r w:rsidRPr="00BD6362">
        <w:rPr>
          <w:rFonts w:ascii="Arial" w:hAnsi="Arial" w:cs="Arial"/>
          <w:noProof/>
          <w:sz w:val="24"/>
          <w:szCs w:val="24"/>
        </w:rPr>
        <w:t>(Secretaría Nacional de Planificación y Desarrollo [SENPLADES], 2017)</w:t>
      </w:r>
      <w:r w:rsidRPr="00BD6362">
        <w:rPr>
          <w:rFonts w:ascii="Arial" w:hAnsi="Arial" w:cs="Arial"/>
          <w:sz w:val="24"/>
          <w:szCs w:val="24"/>
        </w:rPr>
        <w:t xml:space="preserve">. Por su parte el </w:t>
      </w:r>
      <w:r w:rsidRPr="00BD6362">
        <w:rPr>
          <w:rFonts w:ascii="Arial" w:hAnsi="Arial" w:cs="Arial"/>
          <w:noProof/>
          <w:sz w:val="24"/>
          <w:szCs w:val="24"/>
          <w:lang w:val="es-ES"/>
        </w:rPr>
        <w:t xml:space="preserve">Codigo Organico del Ambiente [COA] (2017), </w:t>
      </w:r>
      <w:r w:rsidRPr="00BD6362">
        <w:rPr>
          <w:rFonts w:ascii="Arial" w:hAnsi="Arial" w:cs="Arial"/>
          <w:sz w:val="24"/>
          <w:szCs w:val="24"/>
        </w:rPr>
        <w:t>el numeral 2 del Art. 66 de la Constitución de la República del Ecuador determina como derecho y garantía de las personas a una vida digna, que asegure la salud y saneamiento ambiental, así mismo el Art. 16 del mismo código establece dentro del marco de la educación ambiental ejes transversales para la implementación de estrategias, programas y planes de los diferentes niveles y modalidades de educación formal y no formal.</w:t>
      </w:r>
    </w:p>
    <w:p w14:paraId="1EFD467B" w14:textId="77777777" w:rsidR="00D94E71" w:rsidRPr="00D94E71" w:rsidRDefault="00D94E71" w:rsidP="00D94E71">
      <w:pPr>
        <w:spacing w:line="360" w:lineRule="auto"/>
        <w:jc w:val="both"/>
        <w:rPr>
          <w:rFonts w:ascii="Arial" w:hAnsi="Arial" w:cs="Arial"/>
          <w:sz w:val="24"/>
          <w:szCs w:val="24"/>
        </w:rPr>
      </w:pPr>
      <w:r w:rsidRPr="00D94E71">
        <w:rPr>
          <w:rFonts w:ascii="Arial" w:hAnsi="Arial" w:cs="Arial"/>
          <w:sz w:val="24"/>
          <w:szCs w:val="24"/>
        </w:rPr>
        <w:t xml:space="preserve">Este estudio permitirá el uso de estrategias de educación sobre normas de bioseguridad y saneamiento ambiental en los trabajadores del Mercado Municipal de Bahía de Caráquez </w:t>
      </w:r>
      <w:r w:rsidRPr="00D94E71">
        <w:rPr>
          <w:rFonts w:ascii="Arial" w:eastAsia="Calibri" w:hAnsi="Arial" w:cs="Arial"/>
          <w:sz w:val="24"/>
          <w:szCs w:val="28"/>
        </w:rPr>
        <w:t xml:space="preserve">del </w:t>
      </w:r>
      <w:r w:rsidRPr="00D94E71">
        <w:rPr>
          <w:rFonts w:ascii="Arial" w:hAnsi="Arial" w:cs="Arial"/>
          <w:sz w:val="24"/>
          <w:szCs w:val="24"/>
        </w:rPr>
        <w:t xml:space="preserve">Gobierno Autónomo Descentralizado del Cantón Sucre, en tiempos de COVID-19, información que promoverá valores y conductas con el fin de evitar posibles riegos de contagios durante la jornada laboral. Los resultados obtenidos servirán como instrumento de apoyo en la </w:t>
      </w:r>
      <w:r w:rsidRPr="00D94E71">
        <w:rPr>
          <w:rFonts w:ascii="Arial" w:hAnsi="Arial" w:cs="Arial"/>
          <w:sz w:val="24"/>
          <w:szCs w:val="24"/>
        </w:rPr>
        <w:lastRenderedPageBreak/>
        <w:t>ejecución de programas de educación en establecimientos que desarrollan actividades similares.</w:t>
      </w:r>
    </w:p>
    <w:p w14:paraId="080FE58F" w14:textId="77777777" w:rsidR="00C2532E" w:rsidRDefault="00BD6362" w:rsidP="00C2532E">
      <w:pPr>
        <w:spacing w:line="360" w:lineRule="auto"/>
        <w:jc w:val="center"/>
        <w:rPr>
          <w:rFonts w:ascii="Arial" w:hAnsi="Arial" w:cs="Arial"/>
          <w:b/>
          <w:bCs/>
          <w:sz w:val="32"/>
          <w:szCs w:val="32"/>
        </w:rPr>
      </w:pPr>
      <w:r w:rsidRPr="00BD6362">
        <w:rPr>
          <w:rFonts w:ascii="Arial" w:hAnsi="Arial" w:cs="Arial"/>
          <w:b/>
          <w:bCs/>
          <w:sz w:val="32"/>
          <w:szCs w:val="32"/>
        </w:rPr>
        <w:t>MATERIALES Y MÉTODOS</w:t>
      </w:r>
      <w:bookmarkStart w:id="1" w:name="_Toc78285422"/>
    </w:p>
    <w:p w14:paraId="305F00B9" w14:textId="0D5EC749" w:rsidR="00C2532E" w:rsidRPr="00B12D4C" w:rsidRDefault="00C2532E" w:rsidP="00C2532E">
      <w:pPr>
        <w:spacing w:line="360" w:lineRule="auto"/>
        <w:jc w:val="both"/>
        <w:rPr>
          <w:rFonts w:ascii="Arial" w:hAnsi="Arial" w:cs="Arial"/>
          <w:b/>
          <w:bCs/>
          <w:sz w:val="26"/>
          <w:szCs w:val="26"/>
        </w:rPr>
      </w:pPr>
      <w:r w:rsidRPr="00B12D4C">
        <w:rPr>
          <w:rFonts w:ascii="Arial" w:hAnsi="Arial" w:cs="Arial"/>
          <w:b/>
          <w:bCs/>
          <w:sz w:val="26"/>
          <w:szCs w:val="26"/>
        </w:rPr>
        <w:t>UBICACIÓN</w:t>
      </w:r>
      <w:bookmarkEnd w:id="1"/>
    </w:p>
    <w:p w14:paraId="4281B94E" w14:textId="77777777" w:rsidR="00C2532E" w:rsidRDefault="00C2532E" w:rsidP="00C2532E">
      <w:pPr>
        <w:spacing w:before="240" w:after="240" w:line="360" w:lineRule="auto"/>
        <w:jc w:val="both"/>
        <w:rPr>
          <w:rFonts w:ascii="Arial" w:eastAsia="Times New Roman" w:hAnsi="Arial" w:cs="Arial"/>
          <w:bCs/>
          <w:sz w:val="24"/>
          <w:szCs w:val="28"/>
        </w:rPr>
      </w:pPr>
      <w:r w:rsidRPr="00C2532E">
        <w:rPr>
          <w:rFonts w:ascii="Arial" w:eastAsia="Times New Roman" w:hAnsi="Arial" w:cs="Arial"/>
          <w:bCs/>
          <w:sz w:val="24"/>
          <w:szCs w:val="28"/>
        </w:rPr>
        <w:t xml:space="preserve">La presente investigación fue realizada en el </w:t>
      </w:r>
      <w:bookmarkStart w:id="2" w:name="_Hlk49072016"/>
      <w:r w:rsidRPr="00C2532E">
        <w:rPr>
          <w:rFonts w:ascii="Arial" w:eastAsia="Times New Roman" w:hAnsi="Arial" w:cs="Arial"/>
          <w:bCs/>
          <w:sz w:val="24"/>
          <w:szCs w:val="28"/>
        </w:rPr>
        <w:t>Mercado Municipal de Bahía de Caráquez, Cantón Sucre, Provincia de Manabí</w:t>
      </w:r>
      <w:bookmarkEnd w:id="2"/>
      <w:r w:rsidRPr="00C2532E">
        <w:rPr>
          <w:rFonts w:ascii="Arial" w:eastAsia="Times New Roman" w:hAnsi="Arial" w:cs="Arial"/>
          <w:bCs/>
          <w:sz w:val="24"/>
          <w:szCs w:val="28"/>
        </w:rPr>
        <w:t>, con coordenadas UTM 0°49ʹ21ʹʹ de latitud sur y 80°25'31.58 de longitud oeste, Datum WGS84, Zona 17M.</w:t>
      </w:r>
      <w:bookmarkStart w:id="3" w:name="_Toc78285423"/>
    </w:p>
    <w:p w14:paraId="767156DC" w14:textId="6EEE2EAE" w:rsidR="00C2532E" w:rsidRPr="00B12D4C" w:rsidRDefault="00C2532E" w:rsidP="00C2532E">
      <w:pPr>
        <w:spacing w:before="240" w:after="240" w:line="360" w:lineRule="auto"/>
        <w:jc w:val="both"/>
        <w:rPr>
          <w:rFonts w:ascii="Arial" w:hAnsi="Arial" w:cs="Arial"/>
          <w:b/>
          <w:bCs/>
          <w:sz w:val="26"/>
          <w:szCs w:val="26"/>
        </w:rPr>
      </w:pPr>
      <w:r w:rsidRPr="00B12D4C">
        <w:rPr>
          <w:rFonts w:ascii="Arial" w:hAnsi="Arial" w:cs="Arial"/>
          <w:b/>
          <w:bCs/>
          <w:sz w:val="26"/>
          <w:szCs w:val="26"/>
        </w:rPr>
        <w:t>DURACIÓN</w:t>
      </w:r>
      <w:bookmarkEnd w:id="3"/>
    </w:p>
    <w:p w14:paraId="587E30EC" w14:textId="77777777" w:rsidR="00D46ACA" w:rsidRDefault="00C2532E" w:rsidP="00D46ACA">
      <w:pPr>
        <w:spacing w:line="360" w:lineRule="auto"/>
        <w:jc w:val="both"/>
        <w:rPr>
          <w:rFonts w:ascii="Arial" w:eastAsia="Times New Roman" w:hAnsi="Arial" w:cs="Arial"/>
          <w:bCs/>
          <w:sz w:val="24"/>
          <w:szCs w:val="28"/>
        </w:rPr>
      </w:pPr>
      <w:r w:rsidRPr="00C2532E">
        <w:rPr>
          <w:rFonts w:ascii="Arial" w:eastAsia="Times New Roman" w:hAnsi="Arial" w:cs="Arial"/>
          <w:bCs/>
          <w:sz w:val="24"/>
          <w:szCs w:val="28"/>
        </w:rPr>
        <w:t>La investigación tuvo una duración de siete meses desde su aprobación hasta finalizar la investigación.</w:t>
      </w:r>
      <w:bookmarkStart w:id="4" w:name="_Toc78285425"/>
    </w:p>
    <w:p w14:paraId="7E97E00E" w14:textId="456BED5F" w:rsidR="00D46ACA" w:rsidRPr="00D46ACA" w:rsidRDefault="00D46ACA" w:rsidP="00D46ACA">
      <w:pPr>
        <w:spacing w:line="360" w:lineRule="auto"/>
        <w:jc w:val="both"/>
        <w:rPr>
          <w:rFonts w:ascii="Arial" w:hAnsi="Arial" w:cs="Arial"/>
          <w:b/>
          <w:bCs/>
          <w:sz w:val="26"/>
          <w:szCs w:val="26"/>
        </w:rPr>
      </w:pPr>
      <w:r w:rsidRPr="00D46ACA">
        <w:rPr>
          <w:rFonts w:ascii="Arial" w:hAnsi="Arial" w:cs="Arial"/>
          <w:b/>
          <w:bCs/>
          <w:sz w:val="26"/>
          <w:szCs w:val="26"/>
        </w:rPr>
        <w:t>VARIABLE INDEPENDIENTE</w:t>
      </w:r>
      <w:bookmarkEnd w:id="4"/>
      <w:r w:rsidRPr="00D46ACA">
        <w:rPr>
          <w:rFonts w:ascii="Arial" w:hAnsi="Arial" w:cs="Arial"/>
          <w:b/>
          <w:bCs/>
          <w:sz w:val="26"/>
          <w:szCs w:val="26"/>
        </w:rPr>
        <w:t xml:space="preserve"> </w:t>
      </w:r>
    </w:p>
    <w:p w14:paraId="301CCBCD" w14:textId="77777777" w:rsidR="00D46ACA" w:rsidRDefault="00D46ACA" w:rsidP="00D46ACA">
      <w:pPr>
        <w:pStyle w:val="Prrafodelista"/>
        <w:numPr>
          <w:ilvl w:val="0"/>
          <w:numId w:val="2"/>
        </w:numPr>
        <w:spacing w:before="240"/>
        <w:ind w:left="426"/>
        <w:rPr>
          <w:rFonts w:eastAsia="Times New Roman"/>
          <w:bCs/>
          <w:color w:val="auto"/>
          <w:szCs w:val="24"/>
        </w:rPr>
      </w:pPr>
      <w:r>
        <w:rPr>
          <w:rFonts w:eastAsia="Times New Roman"/>
          <w:bCs/>
          <w:color w:val="auto"/>
          <w:szCs w:val="24"/>
        </w:rPr>
        <w:t xml:space="preserve">Estrategia de educación </w:t>
      </w:r>
      <w:bookmarkStart w:id="5" w:name="_Toc78285426"/>
    </w:p>
    <w:p w14:paraId="534D792D" w14:textId="4D6829EA" w:rsidR="00D46ACA" w:rsidRPr="00D46ACA" w:rsidRDefault="00D46ACA" w:rsidP="00D46ACA">
      <w:pPr>
        <w:spacing w:line="360" w:lineRule="auto"/>
        <w:jc w:val="both"/>
        <w:rPr>
          <w:rFonts w:ascii="Arial" w:hAnsi="Arial" w:cs="Arial"/>
          <w:b/>
          <w:bCs/>
          <w:sz w:val="26"/>
          <w:szCs w:val="26"/>
        </w:rPr>
      </w:pPr>
      <w:r w:rsidRPr="00D46ACA">
        <w:rPr>
          <w:rFonts w:ascii="Arial" w:hAnsi="Arial" w:cs="Arial"/>
          <w:b/>
          <w:bCs/>
          <w:sz w:val="26"/>
          <w:szCs w:val="26"/>
        </w:rPr>
        <w:t>VARIABLES DEPENDIENTES</w:t>
      </w:r>
      <w:bookmarkEnd w:id="5"/>
    </w:p>
    <w:p w14:paraId="4C97787A" w14:textId="77777777" w:rsidR="00D46ACA" w:rsidRDefault="00D46ACA" w:rsidP="00D46ACA">
      <w:pPr>
        <w:pStyle w:val="Prrafodelista"/>
        <w:numPr>
          <w:ilvl w:val="0"/>
          <w:numId w:val="3"/>
        </w:numPr>
        <w:spacing w:before="240"/>
        <w:ind w:left="426"/>
        <w:rPr>
          <w:rFonts w:eastAsia="Times New Roman"/>
          <w:bCs/>
          <w:color w:val="auto"/>
          <w:szCs w:val="24"/>
        </w:rPr>
      </w:pPr>
      <w:r>
        <w:rPr>
          <w:rFonts w:eastAsia="Times New Roman"/>
          <w:bCs/>
          <w:color w:val="auto"/>
          <w:szCs w:val="24"/>
        </w:rPr>
        <w:t>Nivel de conocimiento y nivel de comportamiento sobre normas de bioseguridad y saneamiento ambiental de los trabajadores.</w:t>
      </w:r>
      <w:bookmarkStart w:id="6" w:name="_Toc78285440"/>
    </w:p>
    <w:p w14:paraId="569270CC" w14:textId="4856FF93" w:rsidR="00D46ACA" w:rsidRPr="00876FE4" w:rsidRDefault="00D46ACA" w:rsidP="00D46ACA">
      <w:pPr>
        <w:spacing w:before="240"/>
        <w:ind w:left="66"/>
        <w:rPr>
          <w:rFonts w:ascii="Arial" w:eastAsia="Times New Roman" w:hAnsi="Arial" w:cs="Arial"/>
          <w:b/>
          <w:bCs/>
          <w:sz w:val="28"/>
          <w:szCs w:val="28"/>
        </w:rPr>
      </w:pPr>
      <w:r w:rsidRPr="00876FE4">
        <w:rPr>
          <w:rFonts w:ascii="Arial" w:eastAsia="Times New Roman" w:hAnsi="Arial" w:cs="Arial"/>
          <w:b/>
          <w:bCs/>
          <w:sz w:val="28"/>
          <w:szCs w:val="28"/>
        </w:rPr>
        <w:t>PROCEDIMIENTO</w:t>
      </w:r>
      <w:bookmarkEnd w:id="6"/>
    </w:p>
    <w:p w14:paraId="4AFE2936" w14:textId="77777777" w:rsidR="00D46ACA" w:rsidRPr="00D46ACA" w:rsidRDefault="00D46ACA" w:rsidP="00D46ACA">
      <w:pPr>
        <w:jc w:val="both"/>
        <w:rPr>
          <w:rFonts w:ascii="Arial" w:hAnsi="Arial" w:cs="Arial"/>
          <w:b/>
          <w:bCs/>
          <w:sz w:val="26"/>
          <w:szCs w:val="26"/>
        </w:rPr>
      </w:pPr>
      <w:bookmarkStart w:id="7" w:name="_Toc78285441"/>
      <w:r w:rsidRPr="00D46ACA">
        <w:rPr>
          <w:rFonts w:ascii="Arial" w:hAnsi="Arial" w:cs="Arial"/>
          <w:b/>
          <w:bCs/>
          <w:sz w:val="26"/>
          <w:szCs w:val="26"/>
        </w:rPr>
        <w:t>DIAGNÓSTICO DE LA SITUACIÓN ACTUAL DE LOS TRABAJADORES DEL MERCADO MUNICIPAL DE BAHÍA DE CARÁQUEZ.</w:t>
      </w:r>
      <w:bookmarkEnd w:id="7"/>
    </w:p>
    <w:p w14:paraId="137FD410" w14:textId="77777777" w:rsidR="00D46ACA" w:rsidRDefault="00D46ACA" w:rsidP="00D46ACA">
      <w:pPr>
        <w:pStyle w:val="Prrafodelista"/>
        <w:spacing w:before="240"/>
        <w:ind w:left="0"/>
        <w:rPr>
          <w:rFonts w:eastAsia="Times New Roman"/>
          <w:b/>
          <w:szCs w:val="24"/>
        </w:rPr>
      </w:pPr>
      <w:r>
        <w:rPr>
          <w:rFonts w:eastAsia="Times New Roman"/>
          <w:b/>
          <w:szCs w:val="24"/>
        </w:rPr>
        <w:t>Actividad 1. Descripción de las condiciones de operación del Mercado Municipal de Bahía de Caráquez</w:t>
      </w:r>
    </w:p>
    <w:p w14:paraId="29F71C51" w14:textId="1417A9D8" w:rsidR="00D46ACA" w:rsidRPr="00D46ACA" w:rsidRDefault="00D46ACA" w:rsidP="00D46ACA">
      <w:pPr>
        <w:spacing w:before="240" w:after="240" w:line="360" w:lineRule="auto"/>
        <w:jc w:val="both"/>
        <w:rPr>
          <w:rFonts w:ascii="Arial" w:eastAsia="Times New Roman" w:hAnsi="Arial" w:cs="Arial"/>
          <w:bCs/>
          <w:sz w:val="24"/>
          <w:szCs w:val="24"/>
        </w:rPr>
      </w:pPr>
      <w:r w:rsidRPr="00D46ACA">
        <w:rPr>
          <w:rFonts w:ascii="Arial" w:eastAsia="Times New Roman" w:hAnsi="Arial" w:cs="Arial"/>
          <w:bCs/>
          <w:sz w:val="24"/>
          <w:szCs w:val="24"/>
        </w:rPr>
        <w:t xml:space="preserve">Se realizó una visita al Mercado Municipal de Bahía de Caráquez y se solicitó el permiso respectivo, para efectuar la investigación. Posteriormente, se identificaron cada una de las áreas del mercado mediante observación directa y registro de datos </w:t>
      </w:r>
      <w:r w:rsidRPr="00D46ACA">
        <w:rPr>
          <w:rFonts w:ascii="Arial" w:eastAsia="Times New Roman" w:hAnsi="Arial" w:cs="Arial"/>
          <w:bCs/>
          <w:i/>
          <w:iCs/>
          <w:sz w:val="24"/>
          <w:szCs w:val="24"/>
        </w:rPr>
        <w:t>in situ</w:t>
      </w:r>
      <w:r w:rsidRPr="00D46ACA">
        <w:rPr>
          <w:rFonts w:ascii="Arial" w:eastAsia="Times New Roman" w:hAnsi="Arial" w:cs="Arial"/>
          <w:bCs/>
          <w:sz w:val="24"/>
          <w:szCs w:val="24"/>
        </w:rPr>
        <w:t xml:space="preserve">, utilizando la ficha propuesta por Bailón y Mendoza (2017) adaptada de acuerdo al contexto del objeto de estudio (Ver Tabla </w:t>
      </w:r>
      <w:r>
        <w:rPr>
          <w:rFonts w:ascii="Arial" w:eastAsia="Times New Roman" w:hAnsi="Arial" w:cs="Arial"/>
          <w:bCs/>
          <w:sz w:val="24"/>
          <w:szCs w:val="24"/>
        </w:rPr>
        <w:t>1</w:t>
      </w:r>
      <w:r w:rsidRPr="00D46ACA">
        <w:rPr>
          <w:rFonts w:ascii="Arial" w:eastAsia="Times New Roman" w:hAnsi="Arial" w:cs="Arial"/>
          <w:bCs/>
          <w:sz w:val="24"/>
          <w:szCs w:val="24"/>
        </w:rPr>
        <w:t>.1).</w:t>
      </w:r>
    </w:p>
    <w:p w14:paraId="0806133D" w14:textId="5A64A2E3" w:rsidR="00D46ACA" w:rsidRDefault="00D46ACA" w:rsidP="00D46ACA">
      <w:pPr>
        <w:pStyle w:val="Descripcin"/>
        <w:rPr>
          <w:color w:val="000000" w:themeColor="text1"/>
          <w:sz w:val="24"/>
        </w:rPr>
      </w:pPr>
      <w:bookmarkStart w:id="8" w:name="_Toc78285502"/>
      <w:r>
        <w:rPr>
          <w:b/>
          <w:i w:val="0"/>
          <w:color w:val="000000" w:themeColor="text1"/>
          <w:sz w:val="24"/>
        </w:rPr>
        <w:t>Tabla 1.</w:t>
      </w:r>
      <w:r>
        <w:fldChar w:fldCharType="begin"/>
      </w:r>
      <w:r>
        <w:rPr>
          <w:b/>
          <w:i w:val="0"/>
          <w:color w:val="000000" w:themeColor="text1"/>
          <w:sz w:val="24"/>
        </w:rPr>
        <w:instrText xml:space="preserve"> SEQ Tabla \* ARABIC \s 1 </w:instrText>
      </w:r>
      <w:r>
        <w:fldChar w:fldCharType="separate"/>
      </w:r>
      <w:r>
        <w:rPr>
          <w:b/>
          <w:i w:val="0"/>
          <w:noProof/>
          <w:color w:val="000000" w:themeColor="text1"/>
          <w:sz w:val="24"/>
        </w:rPr>
        <w:t>1</w:t>
      </w:r>
      <w:r>
        <w:fldChar w:fldCharType="end"/>
      </w:r>
      <w:r>
        <w:rPr>
          <w:b/>
          <w:i w:val="0"/>
          <w:color w:val="000000" w:themeColor="text1"/>
          <w:sz w:val="24"/>
        </w:rPr>
        <w:t>.</w:t>
      </w:r>
      <w:r>
        <w:rPr>
          <w:color w:val="000000" w:themeColor="text1"/>
          <w:sz w:val="24"/>
        </w:rPr>
        <w:t xml:space="preserve"> </w:t>
      </w:r>
    </w:p>
    <w:p w14:paraId="6C1CCD65" w14:textId="77777777" w:rsidR="00D46ACA" w:rsidRDefault="00D46ACA" w:rsidP="00D46ACA">
      <w:pPr>
        <w:pStyle w:val="Descripcin"/>
        <w:rPr>
          <w:rFonts w:eastAsia="Times New Roman" w:cs="Arial"/>
          <w:bCs/>
          <w:color w:val="000000" w:themeColor="text1"/>
          <w:sz w:val="24"/>
          <w:szCs w:val="24"/>
        </w:rPr>
      </w:pPr>
      <w:r>
        <w:rPr>
          <w:color w:val="000000" w:themeColor="text1"/>
          <w:sz w:val="24"/>
        </w:rPr>
        <w:lastRenderedPageBreak/>
        <w:t>Registro para la identificación de condiciones de operación y normas bioseguridad y saneamiento ambiental</w:t>
      </w:r>
      <w:bookmarkEnd w:id="8"/>
    </w:p>
    <w:tbl>
      <w:tblPr>
        <w:tblStyle w:val="Tablanormal2"/>
        <w:tblW w:w="4460" w:type="pct"/>
        <w:tblLook w:val="04A0" w:firstRow="1" w:lastRow="0" w:firstColumn="1" w:lastColumn="0" w:noHBand="0" w:noVBand="1"/>
      </w:tblPr>
      <w:tblGrid>
        <w:gridCol w:w="545"/>
        <w:gridCol w:w="883"/>
        <w:gridCol w:w="1062"/>
        <w:gridCol w:w="1164"/>
        <w:gridCol w:w="894"/>
        <w:gridCol w:w="889"/>
        <w:gridCol w:w="1152"/>
        <w:gridCol w:w="997"/>
      </w:tblGrid>
      <w:tr w:rsidR="00D46ACA" w14:paraId="62CD38D8" w14:textId="77777777" w:rsidTr="00D46ACA">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0" w:type="pct"/>
            <w:tcBorders>
              <w:top w:val="single" w:sz="4" w:space="0" w:color="000000"/>
              <w:left w:val="nil"/>
              <w:bottom w:val="single" w:sz="4" w:space="0" w:color="000000"/>
              <w:right w:val="nil"/>
            </w:tcBorders>
            <w:hideMark/>
          </w:tcPr>
          <w:p w14:paraId="28008B69" w14:textId="77777777" w:rsidR="00D46ACA" w:rsidRDefault="00D46ACA">
            <w:pPr>
              <w:spacing w:before="60" w:after="60"/>
              <w:jc w:val="center"/>
              <w:rPr>
                <w:rFonts w:ascii="Arial Narrow" w:hAnsi="Arial Narrow" w:cs="Arial"/>
                <w:b w:val="0"/>
                <w:bCs w:val="0"/>
                <w:color w:val="000000" w:themeColor="text1"/>
                <w:sz w:val="18"/>
                <w:szCs w:val="19"/>
              </w:rPr>
            </w:pPr>
            <w:r>
              <w:rPr>
                <w:rFonts w:ascii="Arial Narrow" w:hAnsi="Arial Narrow" w:cs="Arial"/>
                <w:sz w:val="18"/>
                <w:szCs w:val="19"/>
              </w:rPr>
              <w:t>Área</w:t>
            </w:r>
          </w:p>
        </w:tc>
        <w:tc>
          <w:tcPr>
            <w:tcW w:w="582" w:type="pct"/>
            <w:tcBorders>
              <w:top w:val="single" w:sz="4" w:space="0" w:color="000000"/>
              <w:left w:val="nil"/>
              <w:bottom w:val="single" w:sz="4" w:space="0" w:color="000000"/>
              <w:right w:val="nil"/>
            </w:tcBorders>
            <w:hideMark/>
          </w:tcPr>
          <w:p w14:paraId="37F10E64" w14:textId="77777777" w:rsidR="00D46ACA" w:rsidRDefault="00D46ACA">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sz w:val="18"/>
                <w:szCs w:val="19"/>
              </w:rPr>
            </w:pPr>
            <w:r>
              <w:rPr>
                <w:rFonts w:ascii="Arial Narrow" w:hAnsi="Arial Narrow" w:cs="Arial"/>
                <w:sz w:val="18"/>
                <w:szCs w:val="19"/>
              </w:rPr>
              <w:t>Actividad</w:t>
            </w:r>
          </w:p>
        </w:tc>
        <w:tc>
          <w:tcPr>
            <w:tcW w:w="700" w:type="pct"/>
            <w:tcBorders>
              <w:top w:val="single" w:sz="4" w:space="0" w:color="000000"/>
              <w:left w:val="nil"/>
              <w:bottom w:val="single" w:sz="4" w:space="0" w:color="000000"/>
              <w:right w:val="nil"/>
            </w:tcBorders>
            <w:hideMark/>
          </w:tcPr>
          <w:p w14:paraId="35C1E49A" w14:textId="77777777" w:rsidR="00D46ACA" w:rsidRDefault="00D46ACA">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sz w:val="18"/>
                <w:szCs w:val="19"/>
              </w:rPr>
            </w:pPr>
            <w:r>
              <w:rPr>
                <w:rFonts w:ascii="Arial Narrow" w:hAnsi="Arial Narrow" w:cs="Arial"/>
                <w:sz w:val="18"/>
                <w:szCs w:val="19"/>
              </w:rPr>
              <w:t>Descripción</w:t>
            </w:r>
          </w:p>
        </w:tc>
        <w:tc>
          <w:tcPr>
            <w:tcW w:w="767" w:type="pct"/>
            <w:tcBorders>
              <w:top w:val="single" w:sz="4" w:space="0" w:color="000000"/>
              <w:left w:val="nil"/>
              <w:bottom w:val="single" w:sz="4" w:space="0" w:color="000000"/>
              <w:right w:val="nil"/>
            </w:tcBorders>
            <w:hideMark/>
          </w:tcPr>
          <w:p w14:paraId="6A6BAC5A" w14:textId="77777777" w:rsidR="00D46ACA" w:rsidRDefault="00D46ACA">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sz w:val="18"/>
                <w:szCs w:val="19"/>
              </w:rPr>
            </w:pPr>
            <w:r>
              <w:rPr>
                <w:rFonts w:ascii="Arial Narrow" w:hAnsi="Arial Narrow" w:cs="Arial"/>
                <w:sz w:val="18"/>
                <w:szCs w:val="19"/>
              </w:rPr>
              <w:t>Número de trabajadores</w:t>
            </w:r>
          </w:p>
        </w:tc>
        <w:tc>
          <w:tcPr>
            <w:tcW w:w="589" w:type="pct"/>
            <w:tcBorders>
              <w:top w:val="single" w:sz="4" w:space="0" w:color="000000"/>
              <w:left w:val="nil"/>
              <w:bottom w:val="single" w:sz="4" w:space="0" w:color="000000"/>
              <w:right w:val="nil"/>
            </w:tcBorders>
            <w:hideMark/>
          </w:tcPr>
          <w:p w14:paraId="3FBFF2AE" w14:textId="77777777" w:rsidR="00D46ACA" w:rsidRDefault="00D46ACA">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sz w:val="18"/>
                <w:szCs w:val="19"/>
              </w:rPr>
            </w:pPr>
            <w:r>
              <w:rPr>
                <w:rFonts w:ascii="Arial Narrow" w:hAnsi="Arial Narrow" w:cs="Arial"/>
                <w:sz w:val="18"/>
                <w:szCs w:val="19"/>
              </w:rPr>
              <w:t>Horario de atención</w:t>
            </w:r>
          </w:p>
        </w:tc>
        <w:tc>
          <w:tcPr>
            <w:tcW w:w="586" w:type="pct"/>
            <w:tcBorders>
              <w:top w:val="single" w:sz="4" w:space="0" w:color="000000"/>
              <w:left w:val="nil"/>
              <w:bottom w:val="single" w:sz="4" w:space="0" w:color="000000"/>
              <w:right w:val="nil"/>
            </w:tcBorders>
            <w:hideMark/>
          </w:tcPr>
          <w:p w14:paraId="41CDCBF6" w14:textId="77777777" w:rsidR="00D46ACA" w:rsidRDefault="00D46ACA">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sz w:val="18"/>
                <w:szCs w:val="19"/>
              </w:rPr>
            </w:pPr>
            <w:r>
              <w:rPr>
                <w:rFonts w:ascii="Arial Narrow" w:hAnsi="Arial Narrow" w:cs="Arial"/>
                <w:sz w:val="18"/>
                <w:szCs w:val="19"/>
              </w:rPr>
              <w:t>Aforo permitido</w:t>
            </w:r>
          </w:p>
        </w:tc>
        <w:tc>
          <w:tcPr>
            <w:tcW w:w="759" w:type="pct"/>
            <w:tcBorders>
              <w:top w:val="single" w:sz="4" w:space="0" w:color="000000"/>
              <w:left w:val="nil"/>
              <w:bottom w:val="single" w:sz="4" w:space="0" w:color="000000"/>
              <w:right w:val="nil"/>
            </w:tcBorders>
            <w:hideMark/>
          </w:tcPr>
          <w:p w14:paraId="0F16728A" w14:textId="77777777" w:rsidR="00D46ACA" w:rsidRDefault="00D46ACA">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sz w:val="18"/>
                <w:szCs w:val="19"/>
              </w:rPr>
            </w:pPr>
            <w:r>
              <w:rPr>
                <w:rFonts w:ascii="Arial Narrow" w:hAnsi="Arial Narrow" w:cs="Arial"/>
                <w:sz w:val="18"/>
                <w:szCs w:val="19"/>
              </w:rPr>
              <w:t>Hallazgos encontrados</w:t>
            </w:r>
          </w:p>
        </w:tc>
        <w:tc>
          <w:tcPr>
            <w:tcW w:w="658" w:type="pct"/>
            <w:tcBorders>
              <w:top w:val="single" w:sz="4" w:space="0" w:color="000000"/>
              <w:left w:val="nil"/>
              <w:bottom w:val="single" w:sz="4" w:space="0" w:color="000000"/>
              <w:right w:val="nil"/>
            </w:tcBorders>
            <w:hideMark/>
          </w:tcPr>
          <w:p w14:paraId="6B34C743" w14:textId="77777777" w:rsidR="00D46ACA" w:rsidRDefault="00D46ACA">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sz w:val="18"/>
                <w:szCs w:val="19"/>
              </w:rPr>
            </w:pPr>
            <w:r>
              <w:rPr>
                <w:rFonts w:ascii="Arial Narrow" w:hAnsi="Arial Narrow" w:cs="Arial"/>
                <w:sz w:val="18"/>
                <w:szCs w:val="19"/>
              </w:rPr>
              <w:t>Normas requeridas</w:t>
            </w:r>
          </w:p>
        </w:tc>
      </w:tr>
      <w:tr w:rsidR="00D46ACA" w14:paraId="730387F9" w14:textId="77777777" w:rsidTr="00D46AC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60" w:type="pct"/>
            <w:tcBorders>
              <w:top w:val="single" w:sz="4" w:space="0" w:color="000000"/>
              <w:left w:val="nil"/>
              <w:bottom w:val="single" w:sz="4" w:space="0" w:color="000000"/>
              <w:right w:val="nil"/>
            </w:tcBorders>
          </w:tcPr>
          <w:p w14:paraId="760A98B2" w14:textId="77777777" w:rsidR="00D46ACA" w:rsidRDefault="00D46ACA">
            <w:pPr>
              <w:spacing w:before="60" w:after="60"/>
              <w:jc w:val="center"/>
              <w:rPr>
                <w:rFonts w:ascii="Arial Narrow" w:hAnsi="Arial Narrow" w:cs="Arial"/>
                <w:sz w:val="18"/>
                <w:szCs w:val="19"/>
              </w:rPr>
            </w:pPr>
          </w:p>
        </w:tc>
        <w:tc>
          <w:tcPr>
            <w:tcW w:w="582" w:type="pct"/>
            <w:tcBorders>
              <w:top w:val="single" w:sz="4" w:space="0" w:color="000000"/>
              <w:left w:val="nil"/>
              <w:bottom w:val="single" w:sz="4" w:space="0" w:color="000000"/>
              <w:right w:val="nil"/>
            </w:tcBorders>
          </w:tcPr>
          <w:p w14:paraId="0F90E9E4" w14:textId="77777777" w:rsidR="00D46ACA" w:rsidRDefault="00D46ACA">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9"/>
              </w:rPr>
            </w:pPr>
          </w:p>
        </w:tc>
        <w:tc>
          <w:tcPr>
            <w:tcW w:w="700" w:type="pct"/>
            <w:tcBorders>
              <w:top w:val="single" w:sz="4" w:space="0" w:color="000000"/>
              <w:left w:val="nil"/>
              <w:bottom w:val="single" w:sz="4" w:space="0" w:color="000000"/>
              <w:right w:val="nil"/>
            </w:tcBorders>
          </w:tcPr>
          <w:p w14:paraId="456981CE" w14:textId="77777777" w:rsidR="00D46ACA" w:rsidRDefault="00D46ACA">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9"/>
              </w:rPr>
            </w:pPr>
          </w:p>
        </w:tc>
        <w:tc>
          <w:tcPr>
            <w:tcW w:w="767" w:type="pct"/>
            <w:tcBorders>
              <w:top w:val="single" w:sz="4" w:space="0" w:color="000000"/>
              <w:left w:val="nil"/>
              <w:bottom w:val="single" w:sz="4" w:space="0" w:color="000000"/>
              <w:right w:val="nil"/>
            </w:tcBorders>
          </w:tcPr>
          <w:p w14:paraId="7BA59B97" w14:textId="77777777" w:rsidR="00D46ACA" w:rsidRDefault="00D46ACA">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9"/>
              </w:rPr>
            </w:pPr>
          </w:p>
        </w:tc>
        <w:tc>
          <w:tcPr>
            <w:tcW w:w="589" w:type="pct"/>
            <w:tcBorders>
              <w:top w:val="single" w:sz="4" w:space="0" w:color="000000"/>
              <w:left w:val="nil"/>
              <w:bottom w:val="single" w:sz="4" w:space="0" w:color="000000"/>
              <w:right w:val="nil"/>
            </w:tcBorders>
          </w:tcPr>
          <w:p w14:paraId="1B4EF54E" w14:textId="77777777" w:rsidR="00D46ACA" w:rsidRDefault="00D46ACA">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9"/>
              </w:rPr>
            </w:pPr>
          </w:p>
        </w:tc>
        <w:tc>
          <w:tcPr>
            <w:tcW w:w="586" w:type="pct"/>
            <w:tcBorders>
              <w:top w:val="single" w:sz="4" w:space="0" w:color="000000"/>
              <w:left w:val="nil"/>
              <w:bottom w:val="single" w:sz="4" w:space="0" w:color="000000"/>
              <w:right w:val="nil"/>
            </w:tcBorders>
          </w:tcPr>
          <w:p w14:paraId="3F257825" w14:textId="77777777" w:rsidR="00D46ACA" w:rsidRDefault="00D46ACA">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9"/>
              </w:rPr>
            </w:pPr>
          </w:p>
        </w:tc>
        <w:tc>
          <w:tcPr>
            <w:tcW w:w="759" w:type="pct"/>
            <w:tcBorders>
              <w:top w:val="single" w:sz="4" w:space="0" w:color="000000"/>
              <w:left w:val="nil"/>
              <w:bottom w:val="single" w:sz="4" w:space="0" w:color="000000"/>
              <w:right w:val="nil"/>
            </w:tcBorders>
          </w:tcPr>
          <w:p w14:paraId="1B7EEFDF" w14:textId="77777777" w:rsidR="00D46ACA" w:rsidRDefault="00D46ACA">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9"/>
              </w:rPr>
            </w:pPr>
          </w:p>
        </w:tc>
        <w:tc>
          <w:tcPr>
            <w:tcW w:w="658" w:type="pct"/>
            <w:tcBorders>
              <w:top w:val="single" w:sz="4" w:space="0" w:color="000000"/>
              <w:left w:val="nil"/>
              <w:bottom w:val="single" w:sz="4" w:space="0" w:color="000000"/>
              <w:right w:val="nil"/>
            </w:tcBorders>
          </w:tcPr>
          <w:p w14:paraId="6FC4FBFA" w14:textId="77777777" w:rsidR="00D46ACA" w:rsidRDefault="00D46ACA">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9"/>
              </w:rPr>
            </w:pPr>
          </w:p>
        </w:tc>
      </w:tr>
    </w:tbl>
    <w:p w14:paraId="698459DC" w14:textId="77777777" w:rsidR="00D46ACA" w:rsidRDefault="00D46ACA" w:rsidP="00D46ACA">
      <w:pPr>
        <w:spacing w:after="240"/>
        <w:rPr>
          <w:rFonts w:ascii="Arial" w:eastAsia="Times New Roman" w:hAnsi="Arial" w:cs="Arial"/>
          <w:bCs/>
          <w:i/>
          <w:color w:val="000000" w:themeColor="text1"/>
          <w:sz w:val="24"/>
          <w:szCs w:val="24"/>
        </w:rPr>
      </w:pPr>
      <w:r>
        <w:rPr>
          <w:rFonts w:eastAsia="Times New Roman" w:cs="Arial"/>
          <w:b/>
          <w:i/>
          <w:szCs w:val="24"/>
        </w:rPr>
        <w:t>Fuente:</w:t>
      </w:r>
      <w:r>
        <w:rPr>
          <w:rFonts w:eastAsia="Times New Roman" w:cs="Arial"/>
          <w:bCs/>
          <w:i/>
          <w:szCs w:val="24"/>
        </w:rPr>
        <w:t xml:space="preserve"> Bailón y Mendoza, 2017</w:t>
      </w:r>
    </w:p>
    <w:p w14:paraId="1578373F" w14:textId="77777777" w:rsidR="00D46ACA" w:rsidRPr="00876FE4" w:rsidRDefault="00D46ACA" w:rsidP="00876FE4">
      <w:pPr>
        <w:spacing w:before="240" w:after="240" w:line="360" w:lineRule="auto"/>
        <w:jc w:val="both"/>
        <w:rPr>
          <w:rFonts w:ascii="Arial" w:eastAsia="Times New Roman" w:hAnsi="Arial" w:cs="Arial"/>
          <w:b/>
          <w:sz w:val="24"/>
          <w:szCs w:val="24"/>
        </w:rPr>
      </w:pPr>
      <w:r w:rsidRPr="00876FE4">
        <w:rPr>
          <w:rFonts w:ascii="Arial" w:eastAsia="Times New Roman" w:hAnsi="Arial" w:cs="Arial"/>
          <w:b/>
          <w:sz w:val="24"/>
          <w:szCs w:val="24"/>
        </w:rPr>
        <w:t>Actividad 2.</w:t>
      </w:r>
      <w:r w:rsidRPr="00876FE4">
        <w:rPr>
          <w:rFonts w:ascii="Arial" w:eastAsia="Times New Roman" w:hAnsi="Arial" w:cs="Arial"/>
          <w:bCs/>
          <w:sz w:val="24"/>
          <w:szCs w:val="24"/>
        </w:rPr>
        <w:t xml:space="preserve"> </w:t>
      </w:r>
      <w:r w:rsidRPr="00876FE4">
        <w:rPr>
          <w:rFonts w:ascii="Arial" w:eastAsia="Times New Roman" w:hAnsi="Arial" w:cs="Arial"/>
          <w:b/>
          <w:sz w:val="24"/>
          <w:szCs w:val="24"/>
        </w:rPr>
        <w:t>Caracterización socio-demográfica de los trabajadores del Mercado Municipal.</w:t>
      </w:r>
    </w:p>
    <w:p w14:paraId="0C1C4205" w14:textId="6A7815B3" w:rsidR="00D46ACA" w:rsidRPr="00876FE4" w:rsidRDefault="00D46ACA" w:rsidP="00876FE4">
      <w:pPr>
        <w:spacing w:before="240" w:after="240" w:line="360" w:lineRule="auto"/>
        <w:jc w:val="both"/>
        <w:rPr>
          <w:rFonts w:ascii="Arial" w:eastAsia="Times New Roman" w:hAnsi="Arial" w:cs="Arial"/>
          <w:bCs/>
          <w:sz w:val="24"/>
          <w:szCs w:val="24"/>
        </w:rPr>
      </w:pPr>
      <w:r w:rsidRPr="00876FE4">
        <w:rPr>
          <w:rFonts w:ascii="Arial" w:eastAsia="Times New Roman" w:hAnsi="Arial" w:cs="Arial"/>
          <w:bCs/>
          <w:sz w:val="24"/>
          <w:szCs w:val="24"/>
        </w:rPr>
        <w:t xml:space="preserve">Se realizó una </w:t>
      </w:r>
      <w:bookmarkStart w:id="9" w:name="_Hlk51327909"/>
      <w:r w:rsidRPr="00876FE4">
        <w:rPr>
          <w:rFonts w:ascii="Arial" w:eastAsia="Times New Roman" w:hAnsi="Arial" w:cs="Arial"/>
          <w:bCs/>
          <w:sz w:val="24"/>
          <w:szCs w:val="24"/>
        </w:rPr>
        <w:t xml:space="preserve">descripción de las características demográficas </w:t>
      </w:r>
      <w:bookmarkEnd w:id="9"/>
      <w:r w:rsidRPr="00876FE4">
        <w:rPr>
          <w:rFonts w:ascii="Arial" w:eastAsia="Times New Roman" w:hAnsi="Arial" w:cs="Arial"/>
          <w:bCs/>
          <w:sz w:val="24"/>
          <w:szCs w:val="24"/>
        </w:rPr>
        <w:t>de los trabajadores del Mercado Municipal de Bahía de Caráquez, donde se consideró datos como la edad, sexo, instrucción educativa, grado de analfabetismo, y condición socioeconómica, para lo cual se aplicó una encuesta</w:t>
      </w:r>
      <w:r w:rsidR="00DF321D">
        <w:rPr>
          <w:rFonts w:ascii="Arial" w:eastAsia="Times New Roman" w:hAnsi="Arial" w:cs="Arial"/>
          <w:bCs/>
          <w:sz w:val="24"/>
          <w:szCs w:val="24"/>
        </w:rPr>
        <w:t>.</w:t>
      </w:r>
      <w:r w:rsidRPr="00876FE4">
        <w:rPr>
          <w:rFonts w:ascii="Arial" w:eastAsia="Times New Roman" w:hAnsi="Arial" w:cs="Arial"/>
          <w:bCs/>
          <w:sz w:val="24"/>
          <w:szCs w:val="24"/>
        </w:rPr>
        <w:t xml:space="preserve"> </w:t>
      </w:r>
    </w:p>
    <w:p w14:paraId="331D7E14" w14:textId="77777777" w:rsidR="00D46ACA" w:rsidRPr="00876FE4" w:rsidRDefault="00D46ACA" w:rsidP="00876FE4">
      <w:pPr>
        <w:spacing w:before="240" w:after="240" w:line="360" w:lineRule="auto"/>
        <w:jc w:val="both"/>
        <w:rPr>
          <w:rFonts w:ascii="Arial" w:eastAsia="Times New Roman" w:hAnsi="Arial" w:cs="Arial"/>
          <w:b/>
          <w:sz w:val="24"/>
          <w:szCs w:val="24"/>
        </w:rPr>
      </w:pPr>
      <w:r w:rsidRPr="00876FE4">
        <w:rPr>
          <w:rFonts w:ascii="Arial" w:eastAsia="Times New Roman" w:hAnsi="Arial" w:cs="Arial"/>
          <w:b/>
          <w:sz w:val="24"/>
          <w:szCs w:val="24"/>
        </w:rPr>
        <w:t xml:space="preserve">Actividad 3. Identificación de las actividades que realizan los trabajadores del Mercado Municipal. </w:t>
      </w:r>
    </w:p>
    <w:p w14:paraId="0D7A8AF4" w14:textId="2BA2CF0C" w:rsidR="00D46ACA" w:rsidRPr="00876FE4" w:rsidRDefault="00D46ACA" w:rsidP="00876FE4">
      <w:pPr>
        <w:spacing w:before="240" w:after="240" w:line="360" w:lineRule="auto"/>
        <w:jc w:val="both"/>
        <w:rPr>
          <w:rFonts w:ascii="Arial" w:eastAsia="Times New Roman" w:hAnsi="Arial" w:cs="Arial"/>
          <w:bCs/>
          <w:sz w:val="24"/>
          <w:szCs w:val="24"/>
        </w:rPr>
      </w:pPr>
      <w:r w:rsidRPr="00876FE4">
        <w:rPr>
          <w:rFonts w:ascii="Arial" w:eastAsia="Times New Roman" w:hAnsi="Arial" w:cs="Arial"/>
          <w:bCs/>
          <w:sz w:val="24"/>
          <w:szCs w:val="24"/>
        </w:rPr>
        <w:t>Se aplicó una encuesta, compuesta por tres secciones: la primera sección estuvo integrada por ítems relacionados a la situación socio-demográfica de los trabajadores, en la segunda sección se estableció preguntas sobre las actividades que realizaban los empleados y en la tercera sección sobre la aplicación de normas de bioseguridad y saneamiento ambiental que aplicaban durante la ejecución de las mismas</w:t>
      </w:r>
      <w:r w:rsidR="00DF321D">
        <w:rPr>
          <w:rFonts w:ascii="Arial" w:eastAsia="Times New Roman" w:hAnsi="Arial" w:cs="Arial"/>
          <w:bCs/>
          <w:sz w:val="24"/>
          <w:szCs w:val="24"/>
        </w:rPr>
        <w:t>.</w:t>
      </w:r>
    </w:p>
    <w:p w14:paraId="31316345" w14:textId="77777777" w:rsidR="00D46ACA" w:rsidRDefault="00D46ACA" w:rsidP="00D46ACA">
      <w:pPr>
        <w:pStyle w:val="Prrafodelista"/>
        <w:spacing w:before="240"/>
        <w:ind w:left="0"/>
        <w:rPr>
          <w:rFonts w:eastAsia="Times New Roman"/>
          <w:b/>
          <w:szCs w:val="24"/>
        </w:rPr>
      </w:pPr>
      <w:r>
        <w:rPr>
          <w:rFonts w:eastAsia="Times New Roman"/>
          <w:b/>
          <w:szCs w:val="24"/>
        </w:rPr>
        <w:t xml:space="preserve">Actividad 4. </w:t>
      </w:r>
      <w:bookmarkStart w:id="10" w:name="_Hlk51247556"/>
      <w:r>
        <w:rPr>
          <w:rFonts w:eastAsia="Times New Roman"/>
          <w:b/>
          <w:szCs w:val="24"/>
        </w:rPr>
        <w:t xml:space="preserve">Valoración del conocimiento y comportamiento sobre normas de bioseguridad y saneamiento ambiental </w:t>
      </w:r>
      <w:bookmarkEnd w:id="10"/>
      <w:r>
        <w:rPr>
          <w:rFonts w:eastAsia="Times New Roman"/>
          <w:b/>
          <w:szCs w:val="24"/>
        </w:rPr>
        <w:t>a los trabajadores antes de la aplicación de la estrategia.</w:t>
      </w:r>
    </w:p>
    <w:p w14:paraId="4EBA237C" w14:textId="1EF91DC7" w:rsidR="00D46ACA" w:rsidRPr="00876FE4" w:rsidRDefault="00D46ACA" w:rsidP="00876FE4">
      <w:pPr>
        <w:spacing w:line="360" w:lineRule="auto"/>
        <w:jc w:val="both"/>
        <w:rPr>
          <w:rFonts w:ascii="Arial" w:hAnsi="Arial" w:cs="Arial"/>
          <w:sz w:val="24"/>
          <w:szCs w:val="24"/>
        </w:rPr>
      </w:pPr>
      <w:r w:rsidRPr="00876FE4">
        <w:rPr>
          <w:rFonts w:ascii="Arial" w:hAnsi="Arial" w:cs="Arial"/>
          <w:sz w:val="24"/>
          <w:szCs w:val="24"/>
        </w:rPr>
        <w:t xml:space="preserve">Se evaluó el conocimiento aplicando un cuestionario de 10 preguntas de selección múltiple; donde cada interrogante tiene una solo respuesta correcta. Este documento se fundamentó en el estudio de </w:t>
      </w:r>
      <w:r w:rsidRPr="00876FE4">
        <w:rPr>
          <w:rFonts w:ascii="Arial" w:hAnsi="Arial" w:cs="Arial"/>
          <w:noProof/>
          <w:sz w:val="24"/>
          <w:szCs w:val="24"/>
        </w:rPr>
        <w:t>Aveiga (2020)</w:t>
      </w:r>
      <w:r w:rsidRPr="00876FE4">
        <w:rPr>
          <w:rFonts w:ascii="Arial" w:hAnsi="Arial" w:cs="Arial"/>
          <w:sz w:val="24"/>
          <w:szCs w:val="24"/>
        </w:rPr>
        <w:t xml:space="preserve"> fue reformulado acorde al medio y contexto del área de estudio categorizándose con un valor de cero la elección incorrecta, y con un valor de uno la elección correcta; obteniéndose el puntaje final por sumatoria. Se estableció la siguiente escala de valoración: i) bajo para calificaciones ≤5, ii) alto entre 6 y 7, y muy alto a partir de 8 puntos.</w:t>
      </w:r>
    </w:p>
    <w:p w14:paraId="55F02895" w14:textId="3A201ACC" w:rsidR="00D46ACA" w:rsidRPr="00876FE4" w:rsidRDefault="00D46ACA" w:rsidP="00876FE4">
      <w:pPr>
        <w:spacing w:line="360" w:lineRule="auto"/>
        <w:jc w:val="both"/>
        <w:rPr>
          <w:rFonts w:ascii="Arial" w:hAnsi="Arial" w:cs="Arial"/>
          <w:sz w:val="24"/>
          <w:szCs w:val="24"/>
        </w:rPr>
      </w:pPr>
      <w:r w:rsidRPr="00876FE4">
        <w:rPr>
          <w:rFonts w:ascii="Arial" w:hAnsi="Arial" w:cs="Arial"/>
          <w:sz w:val="24"/>
          <w:szCs w:val="24"/>
        </w:rPr>
        <w:lastRenderedPageBreak/>
        <w:t>Para el comportamiento, se aplicó una encuesta de 10 ítems, en la que los trabajadores indican la frecuencia con la que realizan ciertas acciones. Se estableció una escala con tres opciones i) nunca con una puntuación de 0, ii) a veces con un valor de 0,5, y iii) siempre equivalente a 1, efectuándose la suma de las puntuaciones obtenidas y considerando como comportamiento aceptable las calificaciones mayores o iguales a 5, y no aceptable las inferiores a 5.</w:t>
      </w:r>
    </w:p>
    <w:p w14:paraId="7951C27A" w14:textId="77777777" w:rsidR="00D46ACA" w:rsidRPr="00876FE4" w:rsidRDefault="00D46ACA" w:rsidP="00876FE4">
      <w:pPr>
        <w:spacing w:before="240" w:after="240" w:line="360" w:lineRule="auto"/>
        <w:jc w:val="both"/>
        <w:rPr>
          <w:rFonts w:ascii="Arial" w:eastAsia="Times New Roman" w:hAnsi="Arial" w:cs="Arial"/>
          <w:bCs/>
          <w:sz w:val="24"/>
          <w:szCs w:val="24"/>
        </w:rPr>
      </w:pPr>
      <w:r w:rsidRPr="00876FE4">
        <w:rPr>
          <w:rFonts w:ascii="Arial" w:eastAsia="Times New Roman" w:hAnsi="Arial" w:cs="Arial"/>
          <w:bCs/>
          <w:sz w:val="24"/>
          <w:szCs w:val="24"/>
        </w:rPr>
        <w:t>Obtenida la información se determinó el nivel de conocimiento y comportamiento de los trabajadores mediante análisis descriptivo.</w:t>
      </w:r>
    </w:p>
    <w:p w14:paraId="509EC72B" w14:textId="77777777" w:rsidR="00D46ACA" w:rsidRPr="00D46ACA" w:rsidRDefault="00D46ACA" w:rsidP="00D46ACA">
      <w:pPr>
        <w:jc w:val="both"/>
        <w:rPr>
          <w:rFonts w:ascii="Arial" w:hAnsi="Arial" w:cs="Arial"/>
          <w:b/>
          <w:bCs/>
          <w:sz w:val="26"/>
          <w:szCs w:val="26"/>
        </w:rPr>
      </w:pPr>
      <w:bookmarkStart w:id="11" w:name="_Toc78285442"/>
      <w:r w:rsidRPr="00D46ACA">
        <w:rPr>
          <w:rFonts w:ascii="Arial" w:hAnsi="Arial" w:cs="Arial"/>
          <w:b/>
          <w:bCs/>
          <w:sz w:val="26"/>
          <w:szCs w:val="26"/>
        </w:rPr>
        <w:t>APLICACIÓN DE ESTRATEGIA DE EDUCACIÓN SOBRE NORMAS DE BIOSEGURIDAD Y SANEAMIENTO AMBIENTAL DURANTE LA PANDEMIA COVID-19 QUE INCREMENTE EL NIVEL DE CONOCIMIENTO Y COMPORTAMIENTO</w:t>
      </w:r>
      <w:bookmarkEnd w:id="11"/>
      <w:r w:rsidRPr="00D46ACA">
        <w:rPr>
          <w:rFonts w:ascii="Arial" w:hAnsi="Arial" w:cs="Arial"/>
          <w:b/>
          <w:bCs/>
          <w:sz w:val="26"/>
          <w:szCs w:val="26"/>
        </w:rPr>
        <w:t xml:space="preserve"> </w:t>
      </w:r>
    </w:p>
    <w:p w14:paraId="764B9868" w14:textId="77777777" w:rsidR="00D46ACA" w:rsidRPr="00876FE4" w:rsidRDefault="00D46ACA" w:rsidP="00876FE4">
      <w:pPr>
        <w:pStyle w:val="Prrafodelista"/>
        <w:spacing w:before="240"/>
        <w:ind w:left="0"/>
        <w:rPr>
          <w:rFonts w:eastAsia="Times New Roman"/>
          <w:b/>
          <w:szCs w:val="24"/>
        </w:rPr>
      </w:pPr>
      <w:r w:rsidRPr="00876FE4">
        <w:rPr>
          <w:rFonts w:eastAsia="Times New Roman"/>
          <w:b/>
          <w:szCs w:val="24"/>
        </w:rPr>
        <w:t>Actividad 5. Determinación de la estrategia de educación a desarrollarse en el mercado municipal de Bahía de Caráquez</w:t>
      </w:r>
    </w:p>
    <w:p w14:paraId="4D22BB2D" w14:textId="77777777" w:rsidR="00D46ACA" w:rsidRPr="00876FE4" w:rsidRDefault="00D46ACA" w:rsidP="00876FE4">
      <w:pPr>
        <w:spacing w:before="240" w:after="240" w:line="360" w:lineRule="auto"/>
        <w:jc w:val="both"/>
        <w:rPr>
          <w:rFonts w:ascii="Arial" w:eastAsia="Times New Roman" w:hAnsi="Arial" w:cs="Arial"/>
          <w:bCs/>
          <w:sz w:val="24"/>
          <w:szCs w:val="24"/>
        </w:rPr>
      </w:pPr>
      <w:r w:rsidRPr="00876FE4">
        <w:rPr>
          <w:rFonts w:ascii="Arial" w:eastAsia="Times New Roman" w:hAnsi="Arial" w:cs="Arial"/>
          <w:bCs/>
          <w:sz w:val="24"/>
          <w:szCs w:val="24"/>
        </w:rPr>
        <w:t>Realizada la valoración, se desarrolló una estrategia de educación con base a los resultados obtenidos en el primer objetivo, que mejore y fortalezca los conocimientos de los trabajadores sobre normas de bioseguridad y saneamiento ambiental ante la pandemia COVID-19 en el Mercado Municipal de Bahía de Caráquez.</w:t>
      </w:r>
    </w:p>
    <w:p w14:paraId="48738EAE" w14:textId="77777777" w:rsidR="00D46ACA" w:rsidRPr="00876FE4" w:rsidRDefault="00D46ACA" w:rsidP="00876FE4">
      <w:pPr>
        <w:spacing w:before="240" w:after="240" w:line="360" w:lineRule="auto"/>
        <w:jc w:val="both"/>
        <w:rPr>
          <w:rFonts w:ascii="Arial" w:eastAsia="Times New Roman" w:hAnsi="Arial" w:cs="Arial"/>
          <w:b/>
          <w:sz w:val="24"/>
          <w:szCs w:val="24"/>
        </w:rPr>
      </w:pPr>
      <w:r w:rsidRPr="00876FE4">
        <w:rPr>
          <w:rFonts w:ascii="Arial" w:eastAsia="Times New Roman" w:hAnsi="Arial" w:cs="Arial"/>
          <w:b/>
          <w:sz w:val="24"/>
          <w:szCs w:val="24"/>
        </w:rPr>
        <w:t>Actividad 6. Diseño y aplicación del plan de capacitación para los trabajadores del Mercado Municipal de Bahía de Caráquez</w:t>
      </w:r>
    </w:p>
    <w:p w14:paraId="1435812E" w14:textId="77777777" w:rsidR="00D46ACA" w:rsidRPr="00876FE4" w:rsidRDefault="00D46ACA" w:rsidP="00876FE4">
      <w:pPr>
        <w:spacing w:before="240" w:after="240" w:line="360" w:lineRule="auto"/>
        <w:jc w:val="both"/>
        <w:rPr>
          <w:rFonts w:ascii="Arial" w:eastAsia="Times New Roman" w:hAnsi="Arial" w:cs="Arial"/>
          <w:bCs/>
          <w:sz w:val="24"/>
          <w:szCs w:val="24"/>
        </w:rPr>
      </w:pPr>
      <w:r w:rsidRPr="00876FE4">
        <w:rPr>
          <w:rFonts w:ascii="Arial" w:eastAsia="Times New Roman" w:hAnsi="Arial" w:cs="Arial"/>
          <w:bCs/>
          <w:sz w:val="24"/>
          <w:szCs w:val="24"/>
        </w:rPr>
        <w:t xml:space="preserve">El diseño y aplicación del plan de capacitación a los trabajadores del Mercado Municipal de Bahía de Caráquez, se desarrolló con base a la metodología planteada por Lozano </w:t>
      </w:r>
      <w:r w:rsidRPr="00876FE4">
        <w:rPr>
          <w:rFonts w:ascii="Arial" w:eastAsia="Times New Roman" w:hAnsi="Arial" w:cs="Arial"/>
          <w:bCs/>
          <w:i/>
          <w:iCs/>
          <w:sz w:val="24"/>
          <w:szCs w:val="24"/>
        </w:rPr>
        <w:t>et al</w:t>
      </w:r>
      <w:r w:rsidRPr="00876FE4">
        <w:rPr>
          <w:rFonts w:ascii="Arial" w:eastAsia="Times New Roman" w:hAnsi="Arial" w:cs="Arial"/>
          <w:bCs/>
          <w:sz w:val="24"/>
          <w:szCs w:val="24"/>
        </w:rPr>
        <w:t>., (2008) modificada por la autora, cada módulo tendrá una carga horaria de 2 horas en el que se abordará la temática de normas de bioseguridad y saneamiento ambiental ante la emergencia sanitaria por la pandemia COVID-19.</w:t>
      </w:r>
    </w:p>
    <w:p w14:paraId="63A97EA0" w14:textId="77777777" w:rsidR="00D46ACA" w:rsidRPr="00876FE4" w:rsidRDefault="00D46ACA" w:rsidP="00876FE4">
      <w:pPr>
        <w:spacing w:before="240" w:after="240" w:line="360" w:lineRule="auto"/>
        <w:jc w:val="both"/>
        <w:rPr>
          <w:rFonts w:ascii="Arial" w:eastAsia="Times New Roman" w:hAnsi="Arial" w:cs="Arial"/>
          <w:b/>
          <w:sz w:val="24"/>
          <w:szCs w:val="24"/>
        </w:rPr>
      </w:pPr>
      <w:r w:rsidRPr="00876FE4">
        <w:rPr>
          <w:rFonts w:ascii="Arial" w:eastAsia="Times New Roman" w:hAnsi="Arial" w:cs="Arial"/>
          <w:b/>
          <w:sz w:val="24"/>
          <w:szCs w:val="24"/>
        </w:rPr>
        <w:t>Actividad 7. Valoración del conocimiento y comportamiento de los trabajadores después de la aplicación de la estrategia.</w:t>
      </w:r>
    </w:p>
    <w:p w14:paraId="786BB3D0" w14:textId="77777777" w:rsidR="00D46ACA" w:rsidRPr="00876FE4" w:rsidRDefault="00D46ACA" w:rsidP="00876FE4">
      <w:pPr>
        <w:spacing w:before="240" w:after="240" w:line="360" w:lineRule="auto"/>
        <w:jc w:val="both"/>
        <w:rPr>
          <w:rFonts w:ascii="Arial" w:eastAsia="Times New Roman" w:hAnsi="Arial" w:cs="Arial"/>
          <w:bCs/>
          <w:sz w:val="24"/>
          <w:szCs w:val="24"/>
        </w:rPr>
      </w:pPr>
      <w:r w:rsidRPr="00876FE4">
        <w:rPr>
          <w:rFonts w:ascii="Arial" w:eastAsia="Times New Roman" w:hAnsi="Arial" w:cs="Arial"/>
          <w:bCs/>
          <w:sz w:val="24"/>
          <w:szCs w:val="24"/>
        </w:rPr>
        <w:lastRenderedPageBreak/>
        <w:t>La valoración del conocimiento y comportamiento de los trabajadores sobre normas de bioseguridad y saneamiento ambiental aplicada la estrategia se efectuó de acuerdo a lo establecido en la actividad 4.</w:t>
      </w:r>
    </w:p>
    <w:p w14:paraId="56DE1DC9" w14:textId="77777777" w:rsidR="00D46ACA" w:rsidRPr="00876FE4" w:rsidRDefault="00D46ACA" w:rsidP="00876FE4">
      <w:pPr>
        <w:spacing w:before="240" w:after="240" w:line="360" w:lineRule="auto"/>
        <w:jc w:val="both"/>
        <w:rPr>
          <w:rFonts w:ascii="Arial" w:eastAsia="Times New Roman" w:hAnsi="Arial" w:cs="Arial"/>
          <w:b/>
          <w:sz w:val="24"/>
          <w:szCs w:val="24"/>
        </w:rPr>
      </w:pPr>
      <w:r w:rsidRPr="00876FE4">
        <w:rPr>
          <w:rFonts w:ascii="Arial" w:eastAsia="Times New Roman" w:hAnsi="Arial" w:cs="Arial"/>
          <w:b/>
          <w:sz w:val="24"/>
          <w:szCs w:val="24"/>
        </w:rPr>
        <w:t>Actividad 8. Analizar estadísticamente los resultados obtenidos.</w:t>
      </w:r>
    </w:p>
    <w:p w14:paraId="22297F2A" w14:textId="77777777" w:rsidR="00D46ACA" w:rsidRPr="00876FE4" w:rsidRDefault="00D46ACA" w:rsidP="00876FE4">
      <w:pPr>
        <w:spacing w:line="360" w:lineRule="auto"/>
        <w:jc w:val="both"/>
        <w:rPr>
          <w:rFonts w:ascii="Arial" w:hAnsi="Arial" w:cs="Arial"/>
          <w:color w:val="000000" w:themeColor="text1"/>
          <w:sz w:val="24"/>
          <w:szCs w:val="24"/>
        </w:rPr>
      </w:pPr>
      <w:r w:rsidRPr="00876FE4">
        <w:rPr>
          <w:rFonts w:ascii="Arial" w:eastAsia="Times New Roman" w:hAnsi="Arial" w:cs="Arial"/>
          <w:sz w:val="24"/>
          <w:szCs w:val="24"/>
        </w:rPr>
        <w:t xml:space="preserve">Se determinó el Análisis de la Varianza (ANOVA) de la relación del nivel de conocimiento y comportamiento de los trabajadores del Mercado Municipal de Bahía de Caráquez, mediante la </w:t>
      </w:r>
      <w:r w:rsidRPr="00876FE4">
        <w:rPr>
          <w:rFonts w:ascii="Arial" w:hAnsi="Arial" w:cs="Arial"/>
          <w:sz w:val="24"/>
          <w:szCs w:val="24"/>
        </w:rPr>
        <w:t>Prueba de T (Student) de muestras relacionadas de los datos. Para efecto se utilizó InfoStat versión 2008, SPSS versión 25.</w:t>
      </w:r>
    </w:p>
    <w:p w14:paraId="2D002B40" w14:textId="77777777" w:rsidR="00D46ACA" w:rsidRPr="00876FE4" w:rsidRDefault="00D46ACA" w:rsidP="00876FE4">
      <w:pPr>
        <w:jc w:val="both"/>
        <w:rPr>
          <w:rFonts w:ascii="Arial" w:hAnsi="Arial" w:cs="Arial"/>
          <w:b/>
          <w:bCs/>
          <w:sz w:val="26"/>
          <w:szCs w:val="26"/>
        </w:rPr>
      </w:pPr>
      <w:bookmarkStart w:id="12" w:name="_Toc78285443"/>
      <w:r w:rsidRPr="00876FE4">
        <w:rPr>
          <w:rFonts w:ascii="Arial" w:hAnsi="Arial" w:cs="Arial"/>
          <w:b/>
          <w:bCs/>
          <w:sz w:val="26"/>
          <w:szCs w:val="26"/>
        </w:rPr>
        <w:t>ELABORACIÓN DE UNA GUÍA SOBRE LA APLICACIÓN DE NORMAS DE BIOSEGURIDAD Y SANEAMIENTO AMBIENTAL ´PARA EL FORTALECIMIENTO DE LAS CAPACIDADES DE LOS TRABAJADORES DEL MERCADO MUNICIPAL DE BAHÍA DE CARÁQUEZ</w:t>
      </w:r>
      <w:bookmarkEnd w:id="12"/>
    </w:p>
    <w:p w14:paraId="7A880A8B" w14:textId="77777777" w:rsidR="00D46ACA" w:rsidRPr="00876FE4" w:rsidRDefault="00D46ACA" w:rsidP="00876FE4">
      <w:pPr>
        <w:spacing w:before="240" w:after="240" w:line="360" w:lineRule="auto"/>
        <w:jc w:val="both"/>
        <w:rPr>
          <w:rFonts w:ascii="Arial" w:eastAsia="Times New Roman" w:hAnsi="Arial" w:cs="Arial"/>
          <w:b/>
          <w:bCs/>
          <w:sz w:val="24"/>
          <w:szCs w:val="24"/>
        </w:rPr>
      </w:pPr>
      <w:r w:rsidRPr="00876FE4">
        <w:rPr>
          <w:rFonts w:ascii="Arial" w:eastAsia="Times New Roman" w:hAnsi="Arial" w:cs="Arial"/>
          <w:b/>
          <w:bCs/>
          <w:sz w:val="24"/>
          <w:szCs w:val="24"/>
        </w:rPr>
        <w:t xml:space="preserve">Actividad 10. Análisis FODA y Matriz de Fortalecimiento </w:t>
      </w:r>
    </w:p>
    <w:p w14:paraId="50095D99" w14:textId="77777777" w:rsidR="00D46ACA" w:rsidRPr="00876FE4" w:rsidRDefault="00D46ACA" w:rsidP="00876FE4">
      <w:pPr>
        <w:spacing w:before="240" w:after="240" w:line="360" w:lineRule="auto"/>
        <w:jc w:val="both"/>
        <w:rPr>
          <w:rFonts w:ascii="Arial" w:hAnsi="Arial" w:cs="Arial"/>
          <w:sz w:val="24"/>
          <w:szCs w:val="24"/>
        </w:rPr>
      </w:pPr>
      <w:r w:rsidRPr="00876FE4">
        <w:rPr>
          <w:rFonts w:ascii="Arial" w:eastAsia="Times New Roman" w:hAnsi="Arial" w:cs="Arial"/>
          <w:bCs/>
          <w:sz w:val="24"/>
          <w:szCs w:val="24"/>
        </w:rPr>
        <w:t xml:space="preserve">Se realizó un Análisis FODA con el propósito de que la información proporcionada por las autoridades y trabajadores sirva para el diseño de estrategias que permitan el fortalecimiento de las capacidades del personal que labora en el mercado municipal de Bahía de Caráquez. De acuerdo </w:t>
      </w:r>
      <w:r w:rsidRPr="00876FE4">
        <w:rPr>
          <w:rFonts w:ascii="Arial" w:hAnsi="Arial" w:cs="Arial"/>
          <w:sz w:val="24"/>
          <w:szCs w:val="24"/>
        </w:rPr>
        <w:t xml:space="preserve">Ballesteros </w:t>
      </w:r>
      <w:r w:rsidRPr="00876FE4">
        <w:rPr>
          <w:rFonts w:ascii="Arial" w:hAnsi="Arial" w:cs="Arial"/>
          <w:i/>
          <w:sz w:val="24"/>
          <w:szCs w:val="24"/>
        </w:rPr>
        <w:t>et al</w:t>
      </w:r>
      <w:r w:rsidRPr="00876FE4">
        <w:rPr>
          <w:rFonts w:ascii="Arial" w:hAnsi="Arial" w:cs="Arial"/>
          <w:sz w:val="24"/>
          <w:szCs w:val="24"/>
        </w:rPr>
        <w:t xml:space="preserve">., (2010) el análisis FODA o Matriz FODA es una metodología de estudio de la situación de una organización en su contexto y de las características internas. Este análisis se realizó previo al diálogo con los trabajadores del mercado municipal, en donde se obtuvo la información necesaria para definir las principales fortalezas, oportunidades, debilidades y amenazas, que contribuya a la elaboración de una matriz de fortalecimiento de las capacidades en base a las debilidades encontradas </w:t>
      </w:r>
      <w:sdt>
        <w:sdtPr>
          <w:rPr>
            <w:rFonts w:ascii="Arial" w:hAnsi="Arial" w:cs="Arial"/>
            <w:sz w:val="24"/>
            <w:szCs w:val="24"/>
          </w:rPr>
          <w:id w:val="1661723248"/>
          <w:citation/>
        </w:sdtPr>
        <w:sdtEndPr/>
        <w:sdtContent>
          <w:r w:rsidRPr="00876FE4">
            <w:rPr>
              <w:rFonts w:ascii="Arial" w:hAnsi="Arial" w:cs="Arial"/>
              <w:sz w:val="24"/>
              <w:szCs w:val="24"/>
            </w:rPr>
            <w:fldChar w:fldCharType="begin"/>
          </w:r>
          <w:r w:rsidRPr="00876FE4">
            <w:rPr>
              <w:rFonts w:ascii="Arial" w:hAnsi="Arial" w:cs="Arial"/>
              <w:sz w:val="24"/>
              <w:szCs w:val="24"/>
            </w:rPr>
            <w:instrText xml:space="preserve"> CITATION Exp13 \l 12298 </w:instrText>
          </w:r>
          <w:r w:rsidRPr="00876FE4">
            <w:rPr>
              <w:rFonts w:ascii="Arial" w:hAnsi="Arial" w:cs="Arial"/>
              <w:sz w:val="24"/>
              <w:szCs w:val="24"/>
            </w:rPr>
            <w:fldChar w:fldCharType="separate"/>
          </w:r>
          <w:r w:rsidRPr="00876FE4">
            <w:rPr>
              <w:rFonts w:ascii="Arial" w:hAnsi="Arial" w:cs="Arial"/>
              <w:noProof/>
              <w:sz w:val="24"/>
              <w:szCs w:val="24"/>
            </w:rPr>
            <w:t>(ExpokNews, 2013)</w:t>
          </w:r>
          <w:r w:rsidRPr="00876FE4">
            <w:rPr>
              <w:rFonts w:ascii="Arial" w:hAnsi="Arial" w:cs="Arial"/>
              <w:sz w:val="24"/>
              <w:szCs w:val="24"/>
            </w:rPr>
            <w:fldChar w:fldCharType="end"/>
          </w:r>
        </w:sdtContent>
      </w:sdt>
      <w:r w:rsidRPr="00876FE4">
        <w:rPr>
          <w:rFonts w:ascii="Arial" w:hAnsi="Arial" w:cs="Arial"/>
          <w:sz w:val="24"/>
          <w:szCs w:val="24"/>
        </w:rPr>
        <w:t xml:space="preserve">. </w:t>
      </w:r>
    </w:p>
    <w:p w14:paraId="12588E07" w14:textId="77777777" w:rsidR="00D46ACA" w:rsidRPr="00876FE4" w:rsidRDefault="00D46ACA" w:rsidP="00876FE4">
      <w:pPr>
        <w:spacing w:before="240" w:after="240" w:line="360" w:lineRule="auto"/>
        <w:jc w:val="both"/>
        <w:rPr>
          <w:rFonts w:ascii="Arial" w:hAnsi="Arial" w:cs="Arial"/>
          <w:sz w:val="24"/>
          <w:szCs w:val="24"/>
        </w:rPr>
      </w:pPr>
      <w:r w:rsidRPr="00876FE4">
        <w:rPr>
          <w:rFonts w:ascii="Arial" w:hAnsi="Arial" w:cs="Arial"/>
          <w:sz w:val="24"/>
          <w:szCs w:val="24"/>
        </w:rPr>
        <w:t xml:space="preserve">Con base al análisis FODA y a la matriz de fortalecimiento </w:t>
      </w:r>
      <w:r w:rsidRPr="00876FE4">
        <w:rPr>
          <w:rFonts w:ascii="Arial" w:eastAsia="Times New Roman" w:hAnsi="Arial" w:cs="Arial"/>
          <w:bCs/>
          <w:sz w:val="24"/>
          <w:szCs w:val="24"/>
        </w:rPr>
        <w:t xml:space="preserve">se elaboró una guía utilizando la metodología planteada por </w:t>
      </w:r>
      <w:r w:rsidRPr="00876FE4">
        <w:rPr>
          <w:rFonts w:ascii="Arial" w:eastAsia="Times New Roman" w:hAnsi="Arial" w:cs="Arial"/>
          <w:noProof/>
          <w:sz w:val="24"/>
          <w:szCs w:val="24"/>
        </w:rPr>
        <w:t xml:space="preserve">Bermeo </w:t>
      </w:r>
      <w:r w:rsidRPr="00876FE4">
        <w:rPr>
          <w:rFonts w:ascii="Arial" w:eastAsia="Times New Roman" w:hAnsi="Arial" w:cs="Arial"/>
          <w:bCs/>
          <w:i/>
          <w:iCs/>
          <w:sz w:val="24"/>
          <w:szCs w:val="24"/>
        </w:rPr>
        <w:t>et al</w:t>
      </w:r>
      <w:r w:rsidRPr="00876FE4">
        <w:rPr>
          <w:rFonts w:ascii="Arial" w:eastAsia="Times New Roman" w:hAnsi="Arial" w:cs="Arial"/>
          <w:bCs/>
          <w:sz w:val="24"/>
          <w:szCs w:val="24"/>
        </w:rPr>
        <w:t xml:space="preserve">., (2020) modificada por la autora de acuerdo al contexto de la investigación, con información necesaria para que el personal se instruya sobre principios relevantes que minimicen los </w:t>
      </w:r>
      <w:r w:rsidRPr="00876FE4">
        <w:rPr>
          <w:rFonts w:ascii="Arial" w:eastAsia="Times New Roman" w:hAnsi="Arial" w:cs="Arial"/>
          <w:bCs/>
          <w:sz w:val="24"/>
          <w:szCs w:val="24"/>
        </w:rPr>
        <w:lastRenderedPageBreak/>
        <w:t>contagios por SARS Cov-2 y realice un manejo sanitario adecuado del Mercado Municipal de Bahía de Caráquez.</w:t>
      </w:r>
    </w:p>
    <w:p w14:paraId="0F3B57C5" w14:textId="6CF196A7" w:rsidR="00D46ACA" w:rsidRPr="00500198" w:rsidRDefault="00500198" w:rsidP="00500198">
      <w:pPr>
        <w:spacing w:before="240" w:line="360" w:lineRule="auto"/>
        <w:ind w:left="66"/>
        <w:jc w:val="center"/>
        <w:rPr>
          <w:rFonts w:ascii="Arial" w:eastAsia="Times New Roman" w:hAnsi="Arial" w:cs="Arial"/>
          <w:b/>
          <w:bCs/>
          <w:sz w:val="32"/>
          <w:szCs w:val="32"/>
        </w:rPr>
      </w:pPr>
      <w:r w:rsidRPr="00500198">
        <w:rPr>
          <w:rFonts w:ascii="Arial" w:hAnsi="Arial" w:cs="Arial"/>
          <w:b/>
          <w:bCs/>
          <w:sz w:val="28"/>
          <w:szCs w:val="28"/>
        </w:rPr>
        <w:t>RESULTADO Y DISCUSIÓN</w:t>
      </w:r>
    </w:p>
    <w:p w14:paraId="4B14EA8E" w14:textId="77777777" w:rsidR="00500198" w:rsidRPr="00500198" w:rsidRDefault="00500198" w:rsidP="00500198">
      <w:pPr>
        <w:jc w:val="both"/>
        <w:rPr>
          <w:rFonts w:ascii="Arial" w:hAnsi="Arial" w:cs="Arial"/>
          <w:b/>
          <w:bCs/>
          <w:sz w:val="26"/>
          <w:szCs w:val="26"/>
        </w:rPr>
      </w:pPr>
      <w:bookmarkStart w:id="13" w:name="_Toc78285445"/>
      <w:r w:rsidRPr="00500198">
        <w:rPr>
          <w:rFonts w:ascii="Arial" w:hAnsi="Arial" w:cs="Arial"/>
          <w:b/>
          <w:bCs/>
          <w:sz w:val="26"/>
          <w:szCs w:val="26"/>
        </w:rPr>
        <w:t>DIAGNÓSTICO DE LA SITUACIÓN ACTUAL DE LOS TRABAJADORES DEL MERCADO MUNICIPAL DE BAHÍA DE CARÁQUEZ.</w:t>
      </w:r>
      <w:bookmarkEnd w:id="13"/>
    </w:p>
    <w:p w14:paraId="7C77357B" w14:textId="77777777" w:rsidR="00500198" w:rsidRPr="00500198" w:rsidRDefault="00500198" w:rsidP="00500198">
      <w:pPr>
        <w:jc w:val="both"/>
        <w:rPr>
          <w:rFonts w:ascii="Arial" w:hAnsi="Arial" w:cs="Arial"/>
          <w:b/>
          <w:bCs/>
          <w:sz w:val="24"/>
          <w:szCs w:val="24"/>
        </w:rPr>
      </w:pPr>
      <w:bookmarkStart w:id="14" w:name="_Toc78285446"/>
      <w:r w:rsidRPr="00500198">
        <w:rPr>
          <w:rFonts w:ascii="Arial" w:hAnsi="Arial" w:cs="Arial"/>
          <w:b/>
          <w:bCs/>
          <w:sz w:val="24"/>
          <w:szCs w:val="24"/>
        </w:rPr>
        <w:t>CONDICIONES DE OPERACIÓN DEL MERCADO MUNICIPAL DE BAHÍA DE CARÁQUEZ</w:t>
      </w:r>
      <w:bookmarkEnd w:id="14"/>
    </w:p>
    <w:p w14:paraId="044B9F1B" w14:textId="77777777" w:rsidR="00500198" w:rsidRPr="00500198" w:rsidRDefault="00500198" w:rsidP="00500198">
      <w:pPr>
        <w:spacing w:line="360" w:lineRule="auto"/>
        <w:jc w:val="both"/>
        <w:rPr>
          <w:rFonts w:ascii="Arial" w:hAnsi="Arial" w:cs="Arial"/>
          <w:sz w:val="24"/>
          <w:szCs w:val="24"/>
        </w:rPr>
      </w:pPr>
      <w:r w:rsidRPr="00500198">
        <w:rPr>
          <w:rFonts w:ascii="Arial" w:hAnsi="Arial" w:cs="Arial"/>
          <w:sz w:val="24"/>
          <w:szCs w:val="24"/>
        </w:rPr>
        <w:t>El mercado municipal de Bahía de Caráquez cuenta con seis secciones de expendio</w:t>
      </w:r>
      <w:r w:rsidRPr="00500198">
        <w:rPr>
          <w:rFonts w:ascii="Arial" w:hAnsi="Arial" w:cs="Arial"/>
          <w:noProof/>
          <w:sz w:val="24"/>
          <w:szCs w:val="24"/>
        </w:rPr>
        <w:t xml:space="preserve">, </w:t>
      </w:r>
      <w:r w:rsidRPr="00500198">
        <w:rPr>
          <w:rFonts w:ascii="Arial" w:hAnsi="Arial" w:cs="Arial"/>
          <w:sz w:val="24"/>
          <w:szCs w:val="24"/>
        </w:rPr>
        <w:t>agrupados en zonas o giros de acuerdo a la naturaleza de los productos que expenden, ubicados de tal forma que permiten la visualización y obtención de los víveres, cubriendo así las necesidades de los usuarios de una manera ordenada y eficiente, en concordancia con la Norma</w:t>
      </w:r>
      <w:r w:rsidRPr="00500198">
        <w:rPr>
          <w:rFonts w:ascii="Arial" w:hAnsi="Arial" w:cs="Arial"/>
          <w:noProof/>
          <w:sz w:val="24"/>
          <w:szCs w:val="24"/>
        </w:rPr>
        <w:t xml:space="preserve"> Técnica Ecuatoriana NTE [INEN] (2013)</w:t>
      </w:r>
      <w:r w:rsidRPr="00500198">
        <w:rPr>
          <w:rFonts w:ascii="Arial" w:hAnsi="Arial" w:cs="Arial"/>
          <w:sz w:val="24"/>
          <w:szCs w:val="24"/>
        </w:rPr>
        <w:t>. A continuación, se detallan las características y el plano de las secciones del mercado:</w:t>
      </w:r>
    </w:p>
    <w:p w14:paraId="6423862E" w14:textId="77777777" w:rsidR="00500198" w:rsidRDefault="00500198" w:rsidP="00500198">
      <w:pPr>
        <w:pStyle w:val="Descripcin"/>
        <w:keepNext/>
        <w:rPr>
          <w:b/>
          <w:i w:val="0"/>
          <w:color w:val="000000" w:themeColor="text1"/>
          <w:sz w:val="24"/>
          <w:szCs w:val="24"/>
        </w:rPr>
      </w:pPr>
      <w:bookmarkStart w:id="15" w:name="_Toc78285503"/>
      <w:r>
        <w:rPr>
          <w:b/>
          <w:i w:val="0"/>
          <w:color w:val="000000" w:themeColor="text1"/>
          <w:sz w:val="24"/>
          <w:szCs w:val="24"/>
        </w:rPr>
        <w:t xml:space="preserve">Tabla </w:t>
      </w:r>
      <w:r>
        <w:fldChar w:fldCharType="begin"/>
      </w:r>
      <w:r>
        <w:rPr>
          <w:b/>
          <w:i w:val="0"/>
          <w:color w:val="000000" w:themeColor="text1"/>
          <w:sz w:val="24"/>
          <w:szCs w:val="24"/>
        </w:rPr>
        <w:instrText xml:space="preserve"> STYLEREF 1 \s </w:instrText>
      </w:r>
      <w:r>
        <w:fldChar w:fldCharType="separate"/>
      </w:r>
      <w:r>
        <w:rPr>
          <w:b/>
          <w:i w:val="0"/>
          <w:noProof/>
          <w:color w:val="000000" w:themeColor="text1"/>
          <w:sz w:val="24"/>
          <w:szCs w:val="24"/>
        </w:rPr>
        <w:t>4</w:t>
      </w:r>
      <w:r>
        <w:fldChar w:fldCharType="end"/>
      </w:r>
      <w:r>
        <w:rPr>
          <w:b/>
          <w:i w:val="0"/>
          <w:color w:val="000000" w:themeColor="text1"/>
          <w:sz w:val="24"/>
          <w:szCs w:val="24"/>
        </w:rPr>
        <w:t>.</w:t>
      </w:r>
      <w:r>
        <w:fldChar w:fldCharType="begin"/>
      </w:r>
      <w:r>
        <w:rPr>
          <w:b/>
          <w:i w:val="0"/>
          <w:color w:val="000000" w:themeColor="text1"/>
          <w:sz w:val="24"/>
          <w:szCs w:val="24"/>
        </w:rPr>
        <w:instrText xml:space="preserve"> SEQ Tabla \* ARABIC \s 1 </w:instrText>
      </w:r>
      <w:r>
        <w:fldChar w:fldCharType="separate"/>
      </w:r>
      <w:r>
        <w:rPr>
          <w:b/>
          <w:i w:val="0"/>
          <w:noProof/>
          <w:color w:val="000000" w:themeColor="text1"/>
          <w:sz w:val="24"/>
          <w:szCs w:val="24"/>
        </w:rPr>
        <w:t>1</w:t>
      </w:r>
      <w:r>
        <w:fldChar w:fldCharType="end"/>
      </w:r>
      <w:r>
        <w:rPr>
          <w:b/>
          <w:i w:val="0"/>
          <w:color w:val="000000" w:themeColor="text1"/>
          <w:sz w:val="24"/>
          <w:szCs w:val="24"/>
        </w:rPr>
        <w:t>.</w:t>
      </w:r>
    </w:p>
    <w:p w14:paraId="41DF7577" w14:textId="77777777" w:rsidR="00500198" w:rsidRDefault="00500198" w:rsidP="00500198">
      <w:pPr>
        <w:pStyle w:val="Descripcin"/>
        <w:keepNext/>
        <w:rPr>
          <w:color w:val="000000" w:themeColor="text1"/>
          <w:sz w:val="24"/>
          <w:szCs w:val="24"/>
        </w:rPr>
      </w:pPr>
      <w:r>
        <w:rPr>
          <w:color w:val="000000" w:themeColor="text1"/>
          <w:sz w:val="24"/>
          <w:szCs w:val="24"/>
        </w:rPr>
        <w:t>Secciones del Mercado Municipal</w:t>
      </w:r>
      <w:bookmarkEnd w:id="15"/>
    </w:p>
    <w:tbl>
      <w:tblPr>
        <w:tblStyle w:val="Tablaconcuadrcula"/>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2"/>
      </w:tblGrid>
      <w:tr w:rsidR="00500198" w14:paraId="4908CA7C" w14:textId="77777777" w:rsidTr="00BF6558">
        <w:trPr>
          <w:trHeight w:val="162"/>
          <w:jc w:val="center"/>
        </w:trPr>
        <w:tc>
          <w:tcPr>
            <w:tcW w:w="2500" w:type="pct"/>
            <w:tcBorders>
              <w:top w:val="single" w:sz="4" w:space="0" w:color="auto"/>
              <w:left w:val="nil"/>
              <w:bottom w:val="single" w:sz="4" w:space="0" w:color="auto"/>
              <w:right w:val="nil"/>
            </w:tcBorders>
            <w:vAlign w:val="center"/>
            <w:hideMark/>
          </w:tcPr>
          <w:p w14:paraId="34AA3F81" w14:textId="77777777" w:rsidR="00500198" w:rsidRDefault="00500198">
            <w:pPr>
              <w:jc w:val="center"/>
              <w:rPr>
                <w:b/>
                <w:color w:val="000000" w:themeColor="text1"/>
                <w:sz w:val="24"/>
              </w:rPr>
            </w:pPr>
            <w:r>
              <w:rPr>
                <w:b/>
              </w:rPr>
              <w:t>SECCIONES</w:t>
            </w:r>
          </w:p>
        </w:tc>
        <w:tc>
          <w:tcPr>
            <w:tcW w:w="2500" w:type="pct"/>
            <w:tcBorders>
              <w:top w:val="single" w:sz="4" w:space="0" w:color="auto"/>
              <w:left w:val="nil"/>
              <w:bottom w:val="single" w:sz="4" w:space="0" w:color="auto"/>
              <w:right w:val="nil"/>
            </w:tcBorders>
            <w:hideMark/>
          </w:tcPr>
          <w:p w14:paraId="02531993" w14:textId="77777777" w:rsidR="00500198" w:rsidRDefault="00500198">
            <w:pPr>
              <w:jc w:val="center"/>
              <w:rPr>
                <w:b/>
              </w:rPr>
            </w:pPr>
            <w:r>
              <w:rPr>
                <w:b/>
              </w:rPr>
              <w:t>DESCRIPCIÓN</w:t>
            </w:r>
          </w:p>
        </w:tc>
      </w:tr>
      <w:tr w:rsidR="00500198" w14:paraId="1E2FFCB2" w14:textId="77777777" w:rsidTr="00BF6558">
        <w:trPr>
          <w:trHeight w:val="1011"/>
          <w:jc w:val="center"/>
        </w:trPr>
        <w:tc>
          <w:tcPr>
            <w:tcW w:w="2500" w:type="pct"/>
            <w:tcBorders>
              <w:top w:val="single" w:sz="4" w:space="0" w:color="auto"/>
              <w:left w:val="nil"/>
              <w:bottom w:val="nil"/>
              <w:right w:val="nil"/>
            </w:tcBorders>
            <w:vAlign w:val="center"/>
            <w:hideMark/>
          </w:tcPr>
          <w:p w14:paraId="714CC5B9" w14:textId="77777777" w:rsidR="00500198" w:rsidRDefault="00500198">
            <w:pPr>
              <w:jc w:val="center"/>
              <w:rPr>
                <w:rFonts w:ascii="Arial Narrow" w:hAnsi="Arial Narrow"/>
              </w:rPr>
            </w:pPr>
            <w:r>
              <w:rPr>
                <w:rFonts w:ascii="Arial Narrow" w:hAnsi="Arial Narrow"/>
              </w:rPr>
              <w:t>Sección 1. Abarrotes</w:t>
            </w:r>
          </w:p>
        </w:tc>
        <w:tc>
          <w:tcPr>
            <w:tcW w:w="2500" w:type="pct"/>
            <w:tcBorders>
              <w:top w:val="single" w:sz="4" w:space="0" w:color="auto"/>
              <w:left w:val="nil"/>
              <w:bottom w:val="nil"/>
              <w:right w:val="nil"/>
            </w:tcBorders>
            <w:hideMark/>
          </w:tcPr>
          <w:p w14:paraId="294A3069" w14:textId="77777777" w:rsidR="00500198" w:rsidRPr="00BF6558" w:rsidRDefault="00500198" w:rsidP="00BF6558">
            <w:pPr>
              <w:jc w:val="both"/>
              <w:rPr>
                <w:rFonts w:ascii="Arial Narrow" w:hAnsi="Arial Narrow"/>
                <w:sz w:val="20"/>
                <w:szCs w:val="20"/>
              </w:rPr>
            </w:pPr>
            <w:r w:rsidRPr="00BF6558">
              <w:rPr>
                <w:rFonts w:ascii="Arial Narrow" w:hAnsi="Arial Narrow"/>
                <w:sz w:val="20"/>
                <w:szCs w:val="20"/>
              </w:rPr>
              <w:t>Esta sección está comprendida por 6 locales, se encuentra ubicada en la zona principal del mercado y ofrecen productos cotidianos como: víveres, alimentos, artículos de limpieza entre otros.</w:t>
            </w:r>
          </w:p>
        </w:tc>
      </w:tr>
      <w:tr w:rsidR="00500198" w14:paraId="17876062" w14:textId="77777777" w:rsidTr="00BF6558">
        <w:trPr>
          <w:trHeight w:val="835"/>
          <w:jc w:val="center"/>
        </w:trPr>
        <w:tc>
          <w:tcPr>
            <w:tcW w:w="2500" w:type="pct"/>
            <w:tcBorders>
              <w:top w:val="nil"/>
              <w:left w:val="nil"/>
              <w:bottom w:val="nil"/>
              <w:right w:val="nil"/>
            </w:tcBorders>
            <w:vAlign w:val="center"/>
            <w:hideMark/>
          </w:tcPr>
          <w:p w14:paraId="31FDF642" w14:textId="77777777" w:rsidR="00500198" w:rsidRDefault="00500198">
            <w:pPr>
              <w:jc w:val="center"/>
              <w:rPr>
                <w:rFonts w:ascii="Arial Narrow" w:hAnsi="Arial Narrow"/>
              </w:rPr>
            </w:pPr>
            <w:r>
              <w:rPr>
                <w:rFonts w:ascii="Arial Narrow" w:hAnsi="Arial Narrow"/>
              </w:rPr>
              <w:t>Sección 2. Frutas y verduras</w:t>
            </w:r>
          </w:p>
        </w:tc>
        <w:tc>
          <w:tcPr>
            <w:tcW w:w="2500" w:type="pct"/>
            <w:tcBorders>
              <w:top w:val="nil"/>
              <w:left w:val="nil"/>
              <w:bottom w:val="nil"/>
              <w:right w:val="nil"/>
            </w:tcBorders>
            <w:hideMark/>
          </w:tcPr>
          <w:p w14:paraId="76DD014A" w14:textId="77777777" w:rsidR="00500198" w:rsidRPr="00BF6558" w:rsidRDefault="00500198" w:rsidP="00BF6558">
            <w:pPr>
              <w:jc w:val="both"/>
              <w:rPr>
                <w:rFonts w:ascii="Arial Narrow" w:hAnsi="Arial Narrow"/>
                <w:sz w:val="20"/>
                <w:szCs w:val="20"/>
              </w:rPr>
            </w:pPr>
            <w:r w:rsidRPr="00BF6558">
              <w:rPr>
                <w:rFonts w:ascii="Arial Narrow" w:hAnsi="Arial Narrow"/>
                <w:sz w:val="20"/>
                <w:szCs w:val="20"/>
              </w:rPr>
              <w:t xml:space="preserve">Comprendida por 10 locales, se encuentran ubicados en el centro del mercado, expenden productos como frutas y verduras de origen costeño y de la serranía. </w:t>
            </w:r>
          </w:p>
        </w:tc>
      </w:tr>
      <w:tr w:rsidR="00500198" w14:paraId="713F4AB3" w14:textId="77777777" w:rsidTr="00BF6558">
        <w:trPr>
          <w:trHeight w:val="502"/>
          <w:jc w:val="center"/>
        </w:trPr>
        <w:tc>
          <w:tcPr>
            <w:tcW w:w="2500" w:type="pct"/>
            <w:tcBorders>
              <w:top w:val="nil"/>
              <w:left w:val="nil"/>
              <w:bottom w:val="nil"/>
              <w:right w:val="nil"/>
            </w:tcBorders>
            <w:vAlign w:val="center"/>
            <w:hideMark/>
          </w:tcPr>
          <w:p w14:paraId="3F8943AD" w14:textId="77777777" w:rsidR="00500198" w:rsidRDefault="00500198">
            <w:pPr>
              <w:jc w:val="center"/>
              <w:rPr>
                <w:rFonts w:ascii="Arial Narrow" w:hAnsi="Arial Narrow"/>
              </w:rPr>
            </w:pPr>
            <w:r>
              <w:rPr>
                <w:rFonts w:ascii="Arial Narrow" w:hAnsi="Arial Narrow"/>
              </w:rPr>
              <w:t>Sección 3. Cárnicos</w:t>
            </w:r>
          </w:p>
        </w:tc>
        <w:tc>
          <w:tcPr>
            <w:tcW w:w="2500" w:type="pct"/>
            <w:tcBorders>
              <w:top w:val="nil"/>
              <w:left w:val="nil"/>
              <w:bottom w:val="nil"/>
              <w:right w:val="nil"/>
            </w:tcBorders>
            <w:hideMark/>
          </w:tcPr>
          <w:p w14:paraId="0FF626E8" w14:textId="77777777" w:rsidR="00500198" w:rsidRPr="00BF6558" w:rsidRDefault="00500198" w:rsidP="00BF6558">
            <w:pPr>
              <w:jc w:val="both"/>
              <w:rPr>
                <w:rFonts w:ascii="Arial Narrow" w:hAnsi="Arial Narrow"/>
                <w:sz w:val="20"/>
                <w:szCs w:val="20"/>
              </w:rPr>
            </w:pPr>
            <w:r w:rsidRPr="00BF6558">
              <w:rPr>
                <w:rFonts w:ascii="Arial Narrow" w:hAnsi="Arial Narrow"/>
                <w:sz w:val="20"/>
                <w:szCs w:val="20"/>
              </w:rPr>
              <w:t>Cuenta con 14 locales, ofrece productos cárnicos como pollo, cerdo, res.</w:t>
            </w:r>
          </w:p>
        </w:tc>
      </w:tr>
      <w:tr w:rsidR="00500198" w14:paraId="6B7BD5C5" w14:textId="77777777" w:rsidTr="00BF6558">
        <w:trPr>
          <w:trHeight w:val="508"/>
          <w:jc w:val="center"/>
        </w:trPr>
        <w:tc>
          <w:tcPr>
            <w:tcW w:w="2500" w:type="pct"/>
            <w:tcBorders>
              <w:top w:val="nil"/>
              <w:left w:val="nil"/>
              <w:bottom w:val="nil"/>
              <w:right w:val="nil"/>
            </w:tcBorders>
            <w:vAlign w:val="center"/>
            <w:hideMark/>
          </w:tcPr>
          <w:p w14:paraId="2421AC9D" w14:textId="77777777" w:rsidR="00500198" w:rsidRDefault="00500198">
            <w:pPr>
              <w:jc w:val="center"/>
              <w:rPr>
                <w:rFonts w:ascii="Arial Narrow" w:hAnsi="Arial Narrow"/>
              </w:rPr>
            </w:pPr>
            <w:r>
              <w:rPr>
                <w:rFonts w:ascii="Arial Narrow" w:hAnsi="Arial Narrow"/>
              </w:rPr>
              <w:t>Sección 4. Lácteos</w:t>
            </w:r>
          </w:p>
        </w:tc>
        <w:tc>
          <w:tcPr>
            <w:tcW w:w="2500" w:type="pct"/>
            <w:tcBorders>
              <w:top w:val="nil"/>
              <w:left w:val="nil"/>
              <w:bottom w:val="nil"/>
              <w:right w:val="nil"/>
            </w:tcBorders>
            <w:hideMark/>
          </w:tcPr>
          <w:p w14:paraId="3AE7D8FB" w14:textId="77777777" w:rsidR="00500198" w:rsidRPr="00BF6558" w:rsidRDefault="00500198" w:rsidP="00BF6558">
            <w:pPr>
              <w:jc w:val="both"/>
              <w:rPr>
                <w:rFonts w:ascii="Arial Narrow" w:hAnsi="Arial Narrow"/>
                <w:sz w:val="20"/>
                <w:szCs w:val="20"/>
              </w:rPr>
            </w:pPr>
            <w:r w:rsidRPr="00BF6558">
              <w:rPr>
                <w:rFonts w:ascii="Arial Narrow" w:hAnsi="Arial Narrow"/>
                <w:sz w:val="20"/>
                <w:szCs w:val="20"/>
              </w:rPr>
              <w:t xml:space="preserve">Esta sección está comprendida por 4 locales, expendiéndose productos derivados de ganado vacuno. </w:t>
            </w:r>
          </w:p>
        </w:tc>
      </w:tr>
      <w:tr w:rsidR="00500198" w14:paraId="34D4E242" w14:textId="77777777" w:rsidTr="00BF6558">
        <w:trPr>
          <w:trHeight w:val="495"/>
          <w:jc w:val="center"/>
        </w:trPr>
        <w:tc>
          <w:tcPr>
            <w:tcW w:w="2500" w:type="pct"/>
            <w:tcBorders>
              <w:top w:val="nil"/>
              <w:left w:val="nil"/>
              <w:bottom w:val="nil"/>
              <w:right w:val="nil"/>
            </w:tcBorders>
            <w:vAlign w:val="center"/>
            <w:hideMark/>
          </w:tcPr>
          <w:p w14:paraId="08C4D670" w14:textId="77777777" w:rsidR="00500198" w:rsidRDefault="00500198">
            <w:pPr>
              <w:jc w:val="center"/>
              <w:rPr>
                <w:rFonts w:ascii="Arial Narrow" w:hAnsi="Arial Narrow"/>
              </w:rPr>
            </w:pPr>
            <w:r>
              <w:rPr>
                <w:rFonts w:ascii="Arial Narrow" w:hAnsi="Arial Narrow"/>
              </w:rPr>
              <w:t>Sección 5. Mariscos</w:t>
            </w:r>
          </w:p>
        </w:tc>
        <w:tc>
          <w:tcPr>
            <w:tcW w:w="2500" w:type="pct"/>
            <w:tcBorders>
              <w:top w:val="nil"/>
              <w:left w:val="nil"/>
              <w:bottom w:val="nil"/>
              <w:right w:val="nil"/>
            </w:tcBorders>
            <w:hideMark/>
          </w:tcPr>
          <w:p w14:paraId="02634183" w14:textId="77777777" w:rsidR="00500198" w:rsidRPr="00BF6558" w:rsidRDefault="00500198" w:rsidP="00BF6558">
            <w:pPr>
              <w:jc w:val="both"/>
              <w:rPr>
                <w:rFonts w:ascii="Arial Narrow" w:hAnsi="Arial Narrow"/>
                <w:sz w:val="20"/>
                <w:szCs w:val="20"/>
              </w:rPr>
            </w:pPr>
            <w:r w:rsidRPr="00BF6558">
              <w:rPr>
                <w:rFonts w:ascii="Arial Narrow" w:hAnsi="Arial Narrow"/>
                <w:sz w:val="20"/>
                <w:szCs w:val="20"/>
              </w:rPr>
              <w:t xml:space="preserve">Está comprendida por 6 locales, que expenden camarones, pescado, concha entre otros. </w:t>
            </w:r>
          </w:p>
        </w:tc>
      </w:tr>
      <w:tr w:rsidR="00500198" w14:paraId="57029B72" w14:textId="77777777" w:rsidTr="00BF6558">
        <w:trPr>
          <w:trHeight w:val="332"/>
          <w:jc w:val="center"/>
        </w:trPr>
        <w:tc>
          <w:tcPr>
            <w:tcW w:w="2500" w:type="pct"/>
            <w:tcBorders>
              <w:top w:val="nil"/>
              <w:left w:val="nil"/>
              <w:bottom w:val="single" w:sz="4" w:space="0" w:color="auto"/>
              <w:right w:val="nil"/>
            </w:tcBorders>
            <w:vAlign w:val="center"/>
            <w:hideMark/>
          </w:tcPr>
          <w:p w14:paraId="65F8C323" w14:textId="77777777" w:rsidR="00500198" w:rsidRDefault="00500198">
            <w:pPr>
              <w:jc w:val="center"/>
              <w:rPr>
                <w:rFonts w:ascii="Arial Narrow" w:hAnsi="Arial Narrow"/>
              </w:rPr>
            </w:pPr>
            <w:r>
              <w:rPr>
                <w:rFonts w:ascii="Arial Narrow" w:hAnsi="Arial Narrow"/>
              </w:rPr>
              <w:t>Sección 6. Comedores</w:t>
            </w:r>
          </w:p>
        </w:tc>
        <w:tc>
          <w:tcPr>
            <w:tcW w:w="2500" w:type="pct"/>
            <w:tcBorders>
              <w:top w:val="nil"/>
              <w:left w:val="nil"/>
              <w:bottom w:val="single" w:sz="4" w:space="0" w:color="auto"/>
              <w:right w:val="nil"/>
            </w:tcBorders>
            <w:hideMark/>
          </w:tcPr>
          <w:p w14:paraId="1362F94C" w14:textId="77777777" w:rsidR="00500198" w:rsidRPr="00BF6558" w:rsidRDefault="00500198" w:rsidP="00BF6558">
            <w:pPr>
              <w:jc w:val="both"/>
              <w:rPr>
                <w:rFonts w:ascii="Arial Narrow" w:hAnsi="Arial Narrow"/>
                <w:sz w:val="20"/>
                <w:szCs w:val="20"/>
              </w:rPr>
            </w:pPr>
            <w:r w:rsidRPr="00BF6558">
              <w:rPr>
                <w:rFonts w:ascii="Arial Narrow" w:hAnsi="Arial Narrow"/>
                <w:sz w:val="20"/>
                <w:szCs w:val="20"/>
              </w:rPr>
              <w:t xml:space="preserve">Esta sección está comprendida por 9 locales, que ofertan desayunos y almuerzos al púbico. </w:t>
            </w:r>
          </w:p>
        </w:tc>
      </w:tr>
    </w:tbl>
    <w:p w14:paraId="1A123F28" w14:textId="77777777" w:rsidR="00500198" w:rsidRDefault="00500198" w:rsidP="00500198">
      <w:pPr>
        <w:rPr>
          <w:rFonts w:ascii="Arial" w:eastAsia="Calibri" w:hAnsi="Arial" w:cs="Arial"/>
          <w:bCs/>
          <w:color w:val="000000" w:themeColor="text1"/>
          <w:szCs w:val="24"/>
        </w:rPr>
      </w:pPr>
      <w:r>
        <w:rPr>
          <w:rFonts w:eastAsia="Calibri" w:cs="Arial"/>
          <w:b/>
          <w:bCs/>
          <w:i/>
          <w:szCs w:val="24"/>
        </w:rPr>
        <w:t xml:space="preserve">Fuente: </w:t>
      </w:r>
      <w:r>
        <w:rPr>
          <w:rFonts w:eastAsia="Calibri" w:cs="Arial"/>
          <w:bCs/>
          <w:szCs w:val="24"/>
        </w:rPr>
        <w:t>Autora</w:t>
      </w:r>
    </w:p>
    <w:p w14:paraId="19B9C6E5" w14:textId="77777777" w:rsidR="00500198" w:rsidRPr="00500198" w:rsidRDefault="00500198" w:rsidP="00500198">
      <w:pPr>
        <w:spacing w:line="360" w:lineRule="auto"/>
        <w:jc w:val="both"/>
        <w:rPr>
          <w:rFonts w:ascii="Arial" w:hAnsi="Arial" w:cs="Arial"/>
          <w:b/>
          <w:bCs/>
          <w:sz w:val="24"/>
          <w:szCs w:val="24"/>
        </w:rPr>
      </w:pPr>
      <w:bookmarkStart w:id="16" w:name="_Toc78285447"/>
      <w:r w:rsidRPr="00500198">
        <w:rPr>
          <w:rFonts w:ascii="Arial" w:hAnsi="Arial" w:cs="Arial"/>
          <w:b/>
          <w:bCs/>
          <w:sz w:val="24"/>
          <w:szCs w:val="24"/>
        </w:rPr>
        <w:t>CARACTERIZACIÓN DEMOGRÁFICA Y ACTIVIDADES DE LOS TRABAJADORES DEL MERCADO MUNICIPAL</w:t>
      </w:r>
      <w:bookmarkEnd w:id="16"/>
    </w:p>
    <w:p w14:paraId="07100A46" w14:textId="77777777" w:rsidR="00500198" w:rsidRPr="00500198" w:rsidRDefault="00500198" w:rsidP="00500198">
      <w:pPr>
        <w:spacing w:line="360" w:lineRule="auto"/>
        <w:jc w:val="both"/>
        <w:rPr>
          <w:rFonts w:ascii="Arial" w:hAnsi="Arial" w:cs="Arial"/>
          <w:noProof/>
          <w:sz w:val="24"/>
          <w:szCs w:val="24"/>
        </w:rPr>
      </w:pPr>
      <w:r w:rsidRPr="00500198">
        <w:rPr>
          <w:rFonts w:ascii="Arial" w:hAnsi="Arial" w:cs="Arial"/>
          <w:sz w:val="24"/>
          <w:szCs w:val="24"/>
        </w:rPr>
        <w:t>En la siguiente tabla se detalla la caracterización demográfica y actividades de los trabajadores del Mercado Municipal</w:t>
      </w:r>
      <w:r w:rsidRPr="00500198">
        <w:rPr>
          <w:rStyle w:val="Refdecomentario"/>
          <w:rFonts w:ascii="Arial" w:hAnsi="Arial" w:cs="Arial"/>
          <w:sz w:val="24"/>
          <w:szCs w:val="24"/>
        </w:rPr>
        <w:t xml:space="preserve">, </w:t>
      </w:r>
      <w:r w:rsidRPr="00500198">
        <w:rPr>
          <w:rFonts w:ascii="Arial" w:hAnsi="Arial" w:cs="Arial"/>
          <w:sz w:val="24"/>
          <w:szCs w:val="24"/>
        </w:rPr>
        <w:t xml:space="preserve">obteniéndose un registro de información que permitió identificar su entorno social y económico. Ya que de acuerdo a lo </w:t>
      </w:r>
      <w:r w:rsidRPr="00500198">
        <w:rPr>
          <w:rFonts w:ascii="Arial" w:hAnsi="Arial" w:cs="Arial"/>
          <w:sz w:val="24"/>
          <w:szCs w:val="24"/>
        </w:rPr>
        <w:lastRenderedPageBreak/>
        <w:t xml:space="preserve">citado por </w:t>
      </w:r>
      <w:r w:rsidRPr="00500198">
        <w:rPr>
          <w:rFonts w:ascii="Arial" w:hAnsi="Arial" w:cs="Arial"/>
          <w:noProof/>
          <w:sz w:val="24"/>
          <w:szCs w:val="24"/>
        </w:rPr>
        <w:t xml:space="preserve">Moreno y Velásquez (2015) es importante conocer </w:t>
      </w:r>
      <w:r w:rsidRPr="00500198">
        <w:rPr>
          <w:rFonts w:ascii="Arial" w:hAnsi="Arial" w:cs="Arial"/>
          <w:sz w:val="24"/>
          <w:szCs w:val="24"/>
        </w:rPr>
        <w:t>los aspectos de la situación actual, desde su forma de vida, familiar y estado económico de una persona, lugar o en este caso de un establecimiento.</w:t>
      </w:r>
    </w:p>
    <w:p w14:paraId="0D66D30F" w14:textId="77777777" w:rsidR="00500198" w:rsidRDefault="00500198" w:rsidP="00500198">
      <w:pPr>
        <w:pStyle w:val="Descripcin"/>
        <w:rPr>
          <w:color w:val="000000" w:themeColor="text1"/>
          <w:sz w:val="24"/>
          <w:szCs w:val="24"/>
        </w:rPr>
      </w:pPr>
      <w:bookmarkStart w:id="17" w:name="_Toc61025939"/>
      <w:bookmarkStart w:id="18" w:name="_Toc78285504"/>
      <w:r>
        <w:rPr>
          <w:b/>
          <w:i w:val="0"/>
          <w:color w:val="000000" w:themeColor="text1"/>
          <w:sz w:val="24"/>
          <w:szCs w:val="24"/>
        </w:rPr>
        <w:t xml:space="preserve">Tabla </w:t>
      </w:r>
      <w:r>
        <w:fldChar w:fldCharType="begin"/>
      </w:r>
      <w:r>
        <w:rPr>
          <w:b/>
          <w:i w:val="0"/>
          <w:color w:val="000000" w:themeColor="text1"/>
          <w:sz w:val="24"/>
          <w:szCs w:val="24"/>
        </w:rPr>
        <w:instrText xml:space="preserve"> STYLEREF 1 \s </w:instrText>
      </w:r>
      <w:r>
        <w:fldChar w:fldCharType="separate"/>
      </w:r>
      <w:r>
        <w:rPr>
          <w:b/>
          <w:i w:val="0"/>
          <w:noProof/>
          <w:color w:val="000000" w:themeColor="text1"/>
          <w:sz w:val="24"/>
          <w:szCs w:val="24"/>
        </w:rPr>
        <w:t>4</w:t>
      </w:r>
      <w:r>
        <w:fldChar w:fldCharType="end"/>
      </w:r>
      <w:r>
        <w:rPr>
          <w:b/>
          <w:i w:val="0"/>
          <w:color w:val="000000" w:themeColor="text1"/>
          <w:sz w:val="24"/>
          <w:szCs w:val="24"/>
        </w:rPr>
        <w:t>.</w:t>
      </w:r>
      <w:r>
        <w:fldChar w:fldCharType="begin"/>
      </w:r>
      <w:r>
        <w:rPr>
          <w:b/>
          <w:i w:val="0"/>
          <w:color w:val="000000" w:themeColor="text1"/>
          <w:sz w:val="24"/>
          <w:szCs w:val="24"/>
        </w:rPr>
        <w:instrText xml:space="preserve"> SEQ Tabla \* ARABIC \s 1 </w:instrText>
      </w:r>
      <w:r>
        <w:fldChar w:fldCharType="separate"/>
      </w:r>
      <w:r>
        <w:rPr>
          <w:b/>
          <w:i w:val="0"/>
          <w:noProof/>
          <w:color w:val="000000" w:themeColor="text1"/>
          <w:sz w:val="24"/>
          <w:szCs w:val="24"/>
        </w:rPr>
        <w:t>2</w:t>
      </w:r>
      <w:r>
        <w:fldChar w:fldCharType="end"/>
      </w:r>
      <w:r>
        <w:rPr>
          <w:b/>
          <w:i w:val="0"/>
          <w:color w:val="000000" w:themeColor="text1"/>
          <w:sz w:val="24"/>
          <w:szCs w:val="24"/>
        </w:rPr>
        <w:t>.</w:t>
      </w:r>
      <w:r>
        <w:rPr>
          <w:color w:val="000000" w:themeColor="text1"/>
          <w:sz w:val="24"/>
          <w:szCs w:val="24"/>
        </w:rPr>
        <w:t xml:space="preserve"> </w:t>
      </w:r>
    </w:p>
    <w:p w14:paraId="3CBB9FB2" w14:textId="77777777" w:rsidR="00500198" w:rsidRDefault="00500198" w:rsidP="00500198">
      <w:pPr>
        <w:pStyle w:val="Descripcin"/>
        <w:rPr>
          <w:color w:val="000000" w:themeColor="text1"/>
          <w:sz w:val="24"/>
          <w:szCs w:val="24"/>
        </w:rPr>
      </w:pPr>
      <w:r>
        <w:rPr>
          <w:color w:val="000000" w:themeColor="text1"/>
          <w:sz w:val="24"/>
          <w:szCs w:val="24"/>
        </w:rPr>
        <w:t>Caracterización demográfica y actividades de los trabajadores</w:t>
      </w:r>
      <w:bookmarkEnd w:id="17"/>
      <w:bookmarkEnd w:id="18"/>
    </w:p>
    <w:tbl>
      <w:tblPr>
        <w:tblStyle w:val="Tablaconcuadrcula"/>
        <w:tblpPr w:leftFromText="141" w:rightFromText="141" w:vertAnchor="text" w:horzAnchor="margin" w:tblpY="169"/>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0"/>
        <w:gridCol w:w="5104"/>
      </w:tblGrid>
      <w:tr w:rsidR="00500198" w14:paraId="0E6384D8" w14:textId="77777777" w:rsidTr="00500198">
        <w:tc>
          <w:tcPr>
            <w:tcW w:w="1999" w:type="pct"/>
            <w:tcBorders>
              <w:top w:val="single" w:sz="4" w:space="0" w:color="auto"/>
              <w:left w:val="nil"/>
              <w:bottom w:val="single" w:sz="4" w:space="0" w:color="auto"/>
              <w:right w:val="nil"/>
            </w:tcBorders>
            <w:vAlign w:val="center"/>
            <w:hideMark/>
          </w:tcPr>
          <w:p w14:paraId="04EA40D1" w14:textId="77777777" w:rsidR="00500198" w:rsidRDefault="00500198">
            <w:pPr>
              <w:jc w:val="center"/>
              <w:rPr>
                <w:rFonts w:ascii="Arial Narrow" w:hAnsi="Arial Narrow"/>
                <w:b/>
                <w:color w:val="000000" w:themeColor="text1"/>
                <w:sz w:val="24"/>
              </w:rPr>
            </w:pPr>
            <w:r>
              <w:rPr>
                <w:rFonts w:ascii="Arial Narrow" w:hAnsi="Arial Narrow"/>
                <w:b/>
              </w:rPr>
              <w:t>CONDICIÓN DEMOGRÁFICA</w:t>
            </w:r>
          </w:p>
        </w:tc>
        <w:tc>
          <w:tcPr>
            <w:tcW w:w="3001" w:type="pct"/>
            <w:tcBorders>
              <w:top w:val="single" w:sz="4" w:space="0" w:color="auto"/>
              <w:left w:val="nil"/>
              <w:bottom w:val="single" w:sz="4" w:space="0" w:color="auto"/>
              <w:right w:val="nil"/>
            </w:tcBorders>
            <w:vAlign w:val="center"/>
            <w:hideMark/>
          </w:tcPr>
          <w:p w14:paraId="29C53A8A" w14:textId="77777777" w:rsidR="00500198" w:rsidRDefault="00500198">
            <w:pPr>
              <w:jc w:val="center"/>
              <w:rPr>
                <w:rFonts w:ascii="Arial Narrow" w:hAnsi="Arial Narrow"/>
                <w:b/>
              </w:rPr>
            </w:pPr>
            <w:r>
              <w:rPr>
                <w:rFonts w:ascii="Arial Narrow" w:hAnsi="Arial Narrow"/>
                <w:b/>
              </w:rPr>
              <w:t>DESCRIPCIÓN</w:t>
            </w:r>
          </w:p>
        </w:tc>
      </w:tr>
      <w:tr w:rsidR="00500198" w14:paraId="60946C48" w14:textId="77777777" w:rsidTr="00500198">
        <w:tc>
          <w:tcPr>
            <w:tcW w:w="1999" w:type="pct"/>
            <w:tcBorders>
              <w:top w:val="single" w:sz="4" w:space="0" w:color="auto"/>
              <w:left w:val="nil"/>
              <w:bottom w:val="nil"/>
              <w:right w:val="nil"/>
            </w:tcBorders>
            <w:vAlign w:val="center"/>
            <w:hideMark/>
          </w:tcPr>
          <w:p w14:paraId="1AEC1B9A" w14:textId="77777777" w:rsidR="00500198" w:rsidRPr="00BF6558" w:rsidRDefault="00500198">
            <w:pPr>
              <w:jc w:val="center"/>
              <w:rPr>
                <w:rFonts w:ascii="Arial Narrow" w:hAnsi="Arial Narrow"/>
                <w:sz w:val="20"/>
                <w:szCs w:val="20"/>
              </w:rPr>
            </w:pPr>
            <w:r w:rsidRPr="00BF6558">
              <w:rPr>
                <w:rFonts w:ascii="Arial Narrow" w:hAnsi="Arial Narrow"/>
                <w:sz w:val="20"/>
                <w:szCs w:val="20"/>
              </w:rPr>
              <w:t>Edad</w:t>
            </w:r>
          </w:p>
        </w:tc>
        <w:tc>
          <w:tcPr>
            <w:tcW w:w="3001" w:type="pct"/>
            <w:tcBorders>
              <w:top w:val="single" w:sz="4" w:space="0" w:color="auto"/>
              <w:left w:val="nil"/>
              <w:bottom w:val="nil"/>
              <w:right w:val="nil"/>
            </w:tcBorders>
            <w:hideMark/>
          </w:tcPr>
          <w:p w14:paraId="6EEBA135" w14:textId="77777777" w:rsidR="00500198" w:rsidRPr="00BF6558" w:rsidRDefault="00500198" w:rsidP="00F11F29">
            <w:pPr>
              <w:jc w:val="both"/>
              <w:rPr>
                <w:rFonts w:ascii="Arial Narrow" w:hAnsi="Arial Narrow"/>
                <w:sz w:val="20"/>
                <w:szCs w:val="20"/>
              </w:rPr>
            </w:pPr>
            <w:r w:rsidRPr="00BF6558">
              <w:rPr>
                <w:rFonts w:ascii="Arial Narrow" w:hAnsi="Arial Narrow"/>
                <w:sz w:val="20"/>
                <w:szCs w:val="20"/>
              </w:rPr>
              <w:t xml:space="preserve">En el mercado municipal de Bahía de Caráquez laboran 25 personas en las diferentes secciones, de las cuales el 88% tienen un rango de edad entre 31-50 años y el 12 % entre 26-30. </w:t>
            </w:r>
          </w:p>
        </w:tc>
      </w:tr>
      <w:tr w:rsidR="00500198" w14:paraId="32B589CA" w14:textId="77777777" w:rsidTr="00500198">
        <w:tc>
          <w:tcPr>
            <w:tcW w:w="1999" w:type="pct"/>
            <w:tcBorders>
              <w:top w:val="nil"/>
              <w:left w:val="nil"/>
              <w:bottom w:val="nil"/>
              <w:right w:val="nil"/>
            </w:tcBorders>
            <w:vAlign w:val="center"/>
            <w:hideMark/>
          </w:tcPr>
          <w:p w14:paraId="390AF414" w14:textId="77777777" w:rsidR="00500198" w:rsidRPr="00BF6558" w:rsidRDefault="00500198">
            <w:pPr>
              <w:jc w:val="center"/>
              <w:rPr>
                <w:rFonts w:ascii="Arial Narrow" w:hAnsi="Arial Narrow"/>
                <w:sz w:val="20"/>
                <w:szCs w:val="20"/>
              </w:rPr>
            </w:pPr>
            <w:r w:rsidRPr="00BF6558">
              <w:rPr>
                <w:rFonts w:ascii="Arial Narrow" w:hAnsi="Arial Narrow"/>
                <w:sz w:val="20"/>
                <w:szCs w:val="20"/>
              </w:rPr>
              <w:t>Género</w:t>
            </w:r>
          </w:p>
        </w:tc>
        <w:tc>
          <w:tcPr>
            <w:tcW w:w="3001" w:type="pct"/>
            <w:tcBorders>
              <w:top w:val="nil"/>
              <w:left w:val="nil"/>
              <w:bottom w:val="nil"/>
              <w:right w:val="nil"/>
            </w:tcBorders>
            <w:hideMark/>
          </w:tcPr>
          <w:p w14:paraId="744268A5" w14:textId="77777777" w:rsidR="00500198" w:rsidRPr="00BF6558" w:rsidRDefault="00500198" w:rsidP="00F11F29">
            <w:pPr>
              <w:jc w:val="both"/>
              <w:rPr>
                <w:rFonts w:ascii="Arial Narrow" w:hAnsi="Arial Narrow"/>
                <w:sz w:val="20"/>
                <w:szCs w:val="20"/>
              </w:rPr>
            </w:pPr>
            <w:r w:rsidRPr="00BF6558">
              <w:rPr>
                <w:rFonts w:ascii="Arial Narrow" w:hAnsi="Arial Narrow"/>
                <w:sz w:val="20"/>
                <w:szCs w:val="20"/>
              </w:rPr>
              <w:t xml:space="preserve">El 52% de las personas que expenden en los locales del mercado, pertenece al género femenino y el 48% al género masculino. </w:t>
            </w:r>
          </w:p>
        </w:tc>
      </w:tr>
      <w:tr w:rsidR="00500198" w14:paraId="60930CE5" w14:textId="77777777" w:rsidTr="00500198">
        <w:tc>
          <w:tcPr>
            <w:tcW w:w="1999" w:type="pct"/>
            <w:tcBorders>
              <w:top w:val="nil"/>
              <w:left w:val="nil"/>
              <w:bottom w:val="nil"/>
              <w:right w:val="nil"/>
            </w:tcBorders>
            <w:vAlign w:val="center"/>
            <w:hideMark/>
          </w:tcPr>
          <w:p w14:paraId="7973C9FE" w14:textId="77777777" w:rsidR="00500198" w:rsidRPr="00BF6558" w:rsidRDefault="00500198">
            <w:pPr>
              <w:jc w:val="center"/>
              <w:rPr>
                <w:rFonts w:ascii="Arial Narrow" w:hAnsi="Arial Narrow"/>
                <w:sz w:val="20"/>
                <w:szCs w:val="20"/>
              </w:rPr>
            </w:pPr>
            <w:r w:rsidRPr="00BF6558">
              <w:rPr>
                <w:rFonts w:ascii="Arial Narrow" w:hAnsi="Arial Narrow"/>
                <w:sz w:val="20"/>
                <w:szCs w:val="20"/>
              </w:rPr>
              <w:t>Condición socioeconómica</w:t>
            </w:r>
          </w:p>
        </w:tc>
        <w:tc>
          <w:tcPr>
            <w:tcW w:w="3001" w:type="pct"/>
            <w:tcBorders>
              <w:top w:val="nil"/>
              <w:left w:val="nil"/>
              <w:bottom w:val="nil"/>
              <w:right w:val="nil"/>
            </w:tcBorders>
            <w:hideMark/>
          </w:tcPr>
          <w:p w14:paraId="6A191DA4" w14:textId="77777777" w:rsidR="00500198" w:rsidRPr="00BF6558" w:rsidRDefault="00500198" w:rsidP="00F11F29">
            <w:pPr>
              <w:jc w:val="both"/>
              <w:rPr>
                <w:rFonts w:ascii="Arial Narrow" w:hAnsi="Arial Narrow"/>
                <w:sz w:val="20"/>
                <w:szCs w:val="20"/>
              </w:rPr>
            </w:pPr>
            <w:r w:rsidRPr="00BF6558">
              <w:rPr>
                <w:rFonts w:ascii="Arial Narrow" w:hAnsi="Arial Narrow"/>
                <w:sz w:val="20"/>
                <w:szCs w:val="20"/>
              </w:rPr>
              <w:t>El 100% del personal que expende y labora en el mercado municipal considera que su condición socioeconómica es baja, porque es el principal ingreso y sustento familiar.</w:t>
            </w:r>
          </w:p>
        </w:tc>
      </w:tr>
      <w:tr w:rsidR="00500198" w14:paraId="052EA086" w14:textId="77777777" w:rsidTr="00500198">
        <w:tc>
          <w:tcPr>
            <w:tcW w:w="1999" w:type="pct"/>
            <w:tcBorders>
              <w:top w:val="nil"/>
              <w:left w:val="nil"/>
              <w:bottom w:val="nil"/>
              <w:right w:val="nil"/>
            </w:tcBorders>
            <w:vAlign w:val="center"/>
            <w:hideMark/>
          </w:tcPr>
          <w:p w14:paraId="046291C0" w14:textId="77777777" w:rsidR="00500198" w:rsidRPr="00BF6558" w:rsidRDefault="00500198">
            <w:pPr>
              <w:jc w:val="center"/>
              <w:rPr>
                <w:rFonts w:ascii="Arial Narrow" w:hAnsi="Arial Narrow"/>
                <w:sz w:val="20"/>
                <w:szCs w:val="20"/>
              </w:rPr>
            </w:pPr>
            <w:r w:rsidRPr="00BF6558">
              <w:rPr>
                <w:rFonts w:ascii="Arial Narrow" w:hAnsi="Arial Narrow"/>
                <w:sz w:val="20"/>
                <w:szCs w:val="20"/>
              </w:rPr>
              <w:t>Instrucción educativa</w:t>
            </w:r>
          </w:p>
        </w:tc>
        <w:tc>
          <w:tcPr>
            <w:tcW w:w="3001" w:type="pct"/>
            <w:tcBorders>
              <w:top w:val="nil"/>
              <w:left w:val="nil"/>
              <w:bottom w:val="nil"/>
              <w:right w:val="nil"/>
            </w:tcBorders>
            <w:hideMark/>
          </w:tcPr>
          <w:p w14:paraId="547E1D15" w14:textId="77777777" w:rsidR="00500198" w:rsidRPr="00BF6558" w:rsidRDefault="00500198" w:rsidP="00F11F29">
            <w:pPr>
              <w:jc w:val="both"/>
              <w:rPr>
                <w:rFonts w:ascii="Arial Narrow" w:hAnsi="Arial Narrow"/>
                <w:sz w:val="20"/>
                <w:szCs w:val="20"/>
              </w:rPr>
            </w:pPr>
            <w:r w:rsidRPr="00BF6558">
              <w:rPr>
                <w:rFonts w:ascii="Arial Narrow" w:hAnsi="Arial Narrow"/>
                <w:sz w:val="20"/>
                <w:szCs w:val="20"/>
              </w:rPr>
              <w:t xml:space="preserve">El 48% del personal del mercado municipal tiene un nivel de educación primaria, el 44% cuenta con una educación secundaria y el 8% educación superior. </w:t>
            </w:r>
          </w:p>
        </w:tc>
      </w:tr>
      <w:tr w:rsidR="00500198" w14:paraId="31F111FF" w14:textId="77777777" w:rsidTr="00500198">
        <w:tc>
          <w:tcPr>
            <w:tcW w:w="5000" w:type="pct"/>
            <w:gridSpan w:val="2"/>
            <w:tcBorders>
              <w:top w:val="nil"/>
              <w:left w:val="nil"/>
              <w:bottom w:val="nil"/>
              <w:right w:val="nil"/>
            </w:tcBorders>
            <w:vAlign w:val="center"/>
            <w:hideMark/>
          </w:tcPr>
          <w:p w14:paraId="68D0EBC0" w14:textId="77777777" w:rsidR="00500198" w:rsidRPr="00BF6558" w:rsidRDefault="00500198">
            <w:pPr>
              <w:jc w:val="center"/>
              <w:rPr>
                <w:rFonts w:ascii="Arial Narrow" w:hAnsi="Arial Narrow"/>
                <w:b/>
                <w:sz w:val="20"/>
                <w:szCs w:val="20"/>
              </w:rPr>
            </w:pPr>
            <w:r w:rsidRPr="00BF6558">
              <w:rPr>
                <w:rFonts w:ascii="Arial Narrow" w:hAnsi="Arial Narrow"/>
                <w:b/>
                <w:sz w:val="20"/>
                <w:szCs w:val="20"/>
              </w:rPr>
              <w:t>ACTIVIDADES DE LOS TRABAJADORES</w:t>
            </w:r>
          </w:p>
        </w:tc>
      </w:tr>
      <w:tr w:rsidR="00500198" w14:paraId="57725111" w14:textId="77777777" w:rsidTr="00500198">
        <w:tc>
          <w:tcPr>
            <w:tcW w:w="1999" w:type="pct"/>
            <w:tcBorders>
              <w:top w:val="nil"/>
              <w:left w:val="nil"/>
              <w:bottom w:val="nil"/>
              <w:right w:val="nil"/>
            </w:tcBorders>
            <w:vAlign w:val="center"/>
            <w:hideMark/>
          </w:tcPr>
          <w:p w14:paraId="084C3709" w14:textId="77777777" w:rsidR="00500198" w:rsidRPr="00BF6558" w:rsidRDefault="00500198">
            <w:pPr>
              <w:jc w:val="center"/>
              <w:rPr>
                <w:rFonts w:ascii="Arial Narrow" w:hAnsi="Arial Narrow"/>
                <w:sz w:val="20"/>
                <w:szCs w:val="20"/>
              </w:rPr>
            </w:pPr>
            <w:r w:rsidRPr="00BF6558">
              <w:rPr>
                <w:rFonts w:ascii="Arial Narrow" w:hAnsi="Arial Narrow"/>
                <w:sz w:val="20"/>
                <w:szCs w:val="20"/>
              </w:rPr>
              <w:t>Número de personas que laboran en el local</w:t>
            </w:r>
          </w:p>
        </w:tc>
        <w:tc>
          <w:tcPr>
            <w:tcW w:w="3001" w:type="pct"/>
            <w:tcBorders>
              <w:top w:val="nil"/>
              <w:left w:val="nil"/>
              <w:bottom w:val="nil"/>
              <w:right w:val="nil"/>
            </w:tcBorders>
            <w:hideMark/>
          </w:tcPr>
          <w:p w14:paraId="6EE80E1D" w14:textId="77777777" w:rsidR="00500198" w:rsidRPr="00BF6558" w:rsidRDefault="00500198" w:rsidP="00BF6558">
            <w:pPr>
              <w:jc w:val="both"/>
              <w:rPr>
                <w:rFonts w:ascii="Arial Narrow" w:hAnsi="Arial Narrow"/>
                <w:sz w:val="20"/>
                <w:szCs w:val="20"/>
              </w:rPr>
            </w:pPr>
            <w:r w:rsidRPr="00BF6558">
              <w:rPr>
                <w:rFonts w:ascii="Arial Narrow" w:hAnsi="Arial Narrow"/>
                <w:sz w:val="20"/>
                <w:szCs w:val="20"/>
              </w:rPr>
              <w:t>EL 80% de los encuestados indicó que solo labora una sola persona en el local, mientras que el 20% señalo que laboraban dos personas en el local, alternándose durante los días de trabajo. Pues mencionan que no cuentan con el recurso económico para la contratación de más personal y además expresaron que el mercado estuvo por ser cerrado, dado que los consumidores asisten a la feria de Leónidas Plaza debido a su ubicación al ser este un punto central.</w:t>
            </w:r>
          </w:p>
        </w:tc>
      </w:tr>
      <w:tr w:rsidR="00500198" w14:paraId="67EE66E2" w14:textId="77777777" w:rsidTr="00500198">
        <w:tc>
          <w:tcPr>
            <w:tcW w:w="1999" w:type="pct"/>
            <w:tcBorders>
              <w:top w:val="nil"/>
              <w:left w:val="nil"/>
              <w:bottom w:val="nil"/>
              <w:right w:val="nil"/>
            </w:tcBorders>
            <w:vAlign w:val="center"/>
            <w:hideMark/>
          </w:tcPr>
          <w:p w14:paraId="579CCD9E" w14:textId="77777777" w:rsidR="00500198" w:rsidRPr="00BF6558" w:rsidRDefault="00500198">
            <w:pPr>
              <w:jc w:val="center"/>
              <w:rPr>
                <w:rFonts w:ascii="Arial Narrow" w:hAnsi="Arial Narrow"/>
                <w:sz w:val="20"/>
                <w:szCs w:val="20"/>
              </w:rPr>
            </w:pPr>
            <w:r w:rsidRPr="00BF6558">
              <w:rPr>
                <w:rFonts w:ascii="Arial Narrow" w:hAnsi="Arial Narrow"/>
                <w:sz w:val="20"/>
                <w:szCs w:val="20"/>
              </w:rPr>
              <w:t>Actividad comercial del local</w:t>
            </w:r>
          </w:p>
        </w:tc>
        <w:tc>
          <w:tcPr>
            <w:tcW w:w="3001" w:type="pct"/>
            <w:tcBorders>
              <w:top w:val="nil"/>
              <w:left w:val="nil"/>
              <w:bottom w:val="nil"/>
              <w:right w:val="nil"/>
            </w:tcBorders>
            <w:hideMark/>
          </w:tcPr>
          <w:p w14:paraId="35891B70" w14:textId="77777777" w:rsidR="00500198" w:rsidRPr="00BF6558" w:rsidRDefault="00500198" w:rsidP="00BF6558">
            <w:pPr>
              <w:jc w:val="both"/>
              <w:rPr>
                <w:rFonts w:ascii="Arial Narrow" w:hAnsi="Arial Narrow"/>
                <w:sz w:val="20"/>
                <w:szCs w:val="20"/>
              </w:rPr>
            </w:pPr>
            <w:r w:rsidRPr="00BF6558">
              <w:rPr>
                <w:rFonts w:ascii="Arial Narrow" w:hAnsi="Arial Narrow"/>
                <w:sz w:val="20"/>
                <w:szCs w:val="20"/>
              </w:rPr>
              <w:t xml:space="preserve">El 100% de las personas que laboran se dedican al expendio. </w:t>
            </w:r>
          </w:p>
        </w:tc>
      </w:tr>
      <w:tr w:rsidR="00500198" w14:paraId="38776E72" w14:textId="77777777" w:rsidTr="00500198">
        <w:tc>
          <w:tcPr>
            <w:tcW w:w="1999" w:type="pct"/>
            <w:tcBorders>
              <w:top w:val="nil"/>
              <w:left w:val="nil"/>
              <w:bottom w:val="single" w:sz="4" w:space="0" w:color="auto"/>
              <w:right w:val="nil"/>
            </w:tcBorders>
            <w:vAlign w:val="center"/>
            <w:hideMark/>
          </w:tcPr>
          <w:p w14:paraId="3FEDEC14" w14:textId="77777777" w:rsidR="00500198" w:rsidRPr="00BF6558" w:rsidRDefault="00500198">
            <w:pPr>
              <w:jc w:val="center"/>
              <w:rPr>
                <w:rFonts w:ascii="Arial Narrow" w:hAnsi="Arial Narrow"/>
                <w:sz w:val="20"/>
                <w:szCs w:val="20"/>
              </w:rPr>
            </w:pPr>
            <w:r w:rsidRPr="00BF6558">
              <w:rPr>
                <w:rFonts w:ascii="Arial Narrow" w:hAnsi="Arial Narrow"/>
                <w:sz w:val="20"/>
                <w:szCs w:val="20"/>
              </w:rPr>
              <w:t>Horas de trabajo</w:t>
            </w:r>
          </w:p>
        </w:tc>
        <w:tc>
          <w:tcPr>
            <w:tcW w:w="3001" w:type="pct"/>
            <w:tcBorders>
              <w:top w:val="nil"/>
              <w:left w:val="nil"/>
              <w:bottom w:val="single" w:sz="4" w:space="0" w:color="auto"/>
              <w:right w:val="nil"/>
            </w:tcBorders>
            <w:hideMark/>
          </w:tcPr>
          <w:p w14:paraId="25869E66" w14:textId="77777777" w:rsidR="00500198" w:rsidRPr="00BF6558" w:rsidRDefault="00500198" w:rsidP="00BF6558">
            <w:pPr>
              <w:jc w:val="both"/>
              <w:rPr>
                <w:rFonts w:ascii="Arial Narrow" w:hAnsi="Arial Narrow"/>
                <w:sz w:val="20"/>
                <w:szCs w:val="20"/>
              </w:rPr>
            </w:pPr>
            <w:r w:rsidRPr="00BF6558">
              <w:rPr>
                <w:rFonts w:ascii="Arial Narrow" w:hAnsi="Arial Narrow"/>
                <w:sz w:val="20"/>
                <w:szCs w:val="20"/>
              </w:rPr>
              <w:t xml:space="preserve">El 60% del personal del mercado municipal trabaja más de cuatro horas y el 40% exactamente cuatro. Manifestaron que el trabajo se extiende en la sección de comedores, ya que se realizan actividades como: compra de la materia prima, procesado y por último su limpieza por cada local. </w:t>
            </w:r>
          </w:p>
        </w:tc>
      </w:tr>
    </w:tbl>
    <w:p w14:paraId="58D4D884" w14:textId="77777777" w:rsidR="00500198" w:rsidRDefault="00500198" w:rsidP="00500198">
      <w:pPr>
        <w:rPr>
          <w:rFonts w:ascii="Arial" w:eastAsia="Calibri" w:hAnsi="Arial" w:cs="Arial"/>
          <w:bCs/>
          <w:color w:val="000000" w:themeColor="text1"/>
          <w:szCs w:val="24"/>
        </w:rPr>
      </w:pPr>
      <w:r>
        <w:rPr>
          <w:rFonts w:eastAsia="Calibri" w:cs="Arial"/>
          <w:b/>
          <w:bCs/>
          <w:i/>
          <w:szCs w:val="24"/>
        </w:rPr>
        <w:t xml:space="preserve">Fuente: </w:t>
      </w:r>
      <w:r>
        <w:rPr>
          <w:rFonts w:eastAsia="Calibri" w:cs="Arial"/>
          <w:bCs/>
          <w:szCs w:val="24"/>
        </w:rPr>
        <w:t>Autora</w:t>
      </w:r>
    </w:p>
    <w:p w14:paraId="78831644" w14:textId="77777777" w:rsidR="00500198" w:rsidRPr="00500198" w:rsidRDefault="00500198" w:rsidP="00500198">
      <w:pPr>
        <w:jc w:val="both"/>
        <w:rPr>
          <w:rFonts w:ascii="Arial" w:hAnsi="Arial" w:cs="Arial"/>
          <w:b/>
          <w:bCs/>
          <w:sz w:val="24"/>
          <w:szCs w:val="24"/>
        </w:rPr>
      </w:pPr>
      <w:bookmarkStart w:id="19" w:name="_Toc78285448"/>
      <w:r w:rsidRPr="00500198">
        <w:rPr>
          <w:rFonts w:ascii="Arial" w:hAnsi="Arial" w:cs="Arial"/>
          <w:b/>
          <w:bCs/>
          <w:sz w:val="24"/>
          <w:szCs w:val="24"/>
        </w:rPr>
        <w:t>FLUJOGRAMA DE ACTIVIDADES DE LOS TRABAJADORES DEL MERCADO MUNICIPAL</w:t>
      </w:r>
      <w:bookmarkEnd w:id="19"/>
    </w:p>
    <w:p w14:paraId="57FA387F" w14:textId="10D608CB" w:rsidR="00500198" w:rsidRPr="00500198" w:rsidRDefault="00500198" w:rsidP="00500198">
      <w:pPr>
        <w:spacing w:line="360" w:lineRule="auto"/>
        <w:jc w:val="both"/>
        <w:rPr>
          <w:rFonts w:ascii="Arial" w:hAnsi="Arial" w:cs="Arial"/>
          <w:sz w:val="24"/>
          <w:szCs w:val="24"/>
        </w:rPr>
      </w:pPr>
      <w:r w:rsidRPr="00500198">
        <w:rPr>
          <w:rFonts w:ascii="Arial" w:hAnsi="Arial" w:cs="Arial"/>
          <w:sz w:val="24"/>
          <w:szCs w:val="24"/>
        </w:rPr>
        <w:t>En la figura 4.2 se ilustra las nueve actividades que desarrollan los trabajadores del Mercado Municipal, un día normal de labores. El mercado ha formado una industria, que involucra distintas actividades, cuya finalidad es satisfacer las necesidades de la vida humana, para la provisión de productos de consumo vital y abarrotes</w:t>
      </w:r>
      <w:sdt>
        <w:sdtPr>
          <w:rPr>
            <w:rFonts w:ascii="Arial" w:hAnsi="Arial" w:cs="Arial"/>
            <w:sz w:val="24"/>
            <w:szCs w:val="24"/>
          </w:rPr>
          <w:id w:val="897408530"/>
          <w:citation/>
        </w:sdtPr>
        <w:sdtEndPr/>
        <w:sdtContent>
          <w:r w:rsidRPr="00500198">
            <w:rPr>
              <w:rFonts w:ascii="Arial" w:hAnsi="Arial" w:cs="Arial"/>
              <w:sz w:val="24"/>
              <w:szCs w:val="24"/>
            </w:rPr>
            <w:fldChar w:fldCharType="begin"/>
          </w:r>
          <w:r w:rsidRPr="00500198">
            <w:rPr>
              <w:rFonts w:ascii="Arial" w:hAnsi="Arial" w:cs="Arial"/>
              <w:sz w:val="24"/>
              <w:szCs w:val="24"/>
            </w:rPr>
            <w:instrText xml:space="preserve"> CITATION Car13 \l 12298 </w:instrText>
          </w:r>
          <w:r w:rsidRPr="00500198">
            <w:rPr>
              <w:rFonts w:ascii="Arial" w:hAnsi="Arial" w:cs="Arial"/>
              <w:sz w:val="24"/>
              <w:szCs w:val="24"/>
            </w:rPr>
            <w:fldChar w:fldCharType="separate"/>
          </w:r>
          <w:r w:rsidRPr="00500198">
            <w:rPr>
              <w:rFonts w:ascii="Arial" w:hAnsi="Arial" w:cs="Arial"/>
              <w:noProof/>
              <w:sz w:val="24"/>
              <w:szCs w:val="24"/>
            </w:rPr>
            <w:t xml:space="preserve"> (Castillo, 2013)</w:t>
          </w:r>
          <w:r w:rsidRPr="00500198">
            <w:rPr>
              <w:rFonts w:ascii="Arial" w:hAnsi="Arial" w:cs="Arial"/>
              <w:sz w:val="24"/>
              <w:szCs w:val="24"/>
            </w:rPr>
            <w:fldChar w:fldCharType="end"/>
          </w:r>
        </w:sdtContent>
      </w:sdt>
      <w:bookmarkStart w:id="20" w:name="_Toc61025915"/>
      <w:r w:rsidRPr="00500198">
        <w:rPr>
          <w:rFonts w:ascii="Arial" w:hAnsi="Arial" w:cs="Arial"/>
          <w:sz w:val="24"/>
          <w:szCs w:val="24"/>
        </w:rPr>
        <w:t>.</w:t>
      </w:r>
    </w:p>
    <w:p w14:paraId="35563B7A" w14:textId="77777777" w:rsidR="00500198" w:rsidRDefault="00500198" w:rsidP="00500198">
      <w:pPr>
        <w:pStyle w:val="Descripcin"/>
        <w:rPr>
          <w:b/>
          <w:i w:val="0"/>
          <w:color w:val="000000" w:themeColor="text1"/>
          <w:sz w:val="24"/>
          <w:szCs w:val="24"/>
        </w:rPr>
      </w:pPr>
      <w:bookmarkStart w:id="21" w:name="_Toc78285515"/>
      <w:r>
        <w:rPr>
          <w:b/>
          <w:i w:val="0"/>
          <w:color w:val="000000" w:themeColor="text1"/>
          <w:sz w:val="24"/>
          <w:szCs w:val="24"/>
        </w:rPr>
        <w:t xml:space="preserve">Figura </w:t>
      </w:r>
      <w:r>
        <w:fldChar w:fldCharType="begin"/>
      </w:r>
      <w:r>
        <w:rPr>
          <w:b/>
          <w:i w:val="0"/>
          <w:color w:val="000000" w:themeColor="text1"/>
          <w:sz w:val="24"/>
          <w:szCs w:val="24"/>
        </w:rPr>
        <w:instrText xml:space="preserve"> STYLEREF 1 \s </w:instrText>
      </w:r>
      <w:r>
        <w:fldChar w:fldCharType="separate"/>
      </w:r>
      <w:r>
        <w:rPr>
          <w:b/>
          <w:i w:val="0"/>
          <w:noProof/>
          <w:color w:val="000000" w:themeColor="text1"/>
          <w:sz w:val="24"/>
          <w:szCs w:val="24"/>
        </w:rPr>
        <w:t>4</w:t>
      </w:r>
      <w:r>
        <w:fldChar w:fldCharType="end"/>
      </w:r>
      <w:r>
        <w:rPr>
          <w:b/>
          <w:i w:val="0"/>
          <w:color w:val="000000" w:themeColor="text1"/>
          <w:sz w:val="24"/>
          <w:szCs w:val="24"/>
        </w:rPr>
        <w:t>.</w:t>
      </w:r>
      <w:r>
        <w:fldChar w:fldCharType="begin"/>
      </w:r>
      <w:r>
        <w:rPr>
          <w:b/>
          <w:i w:val="0"/>
          <w:color w:val="000000" w:themeColor="text1"/>
          <w:sz w:val="24"/>
          <w:szCs w:val="24"/>
        </w:rPr>
        <w:instrText xml:space="preserve"> SEQ Figura \* ARABIC \s 1 </w:instrText>
      </w:r>
      <w:r>
        <w:fldChar w:fldCharType="separate"/>
      </w:r>
      <w:r>
        <w:rPr>
          <w:b/>
          <w:i w:val="0"/>
          <w:noProof/>
          <w:color w:val="000000" w:themeColor="text1"/>
          <w:sz w:val="24"/>
          <w:szCs w:val="24"/>
        </w:rPr>
        <w:t>2</w:t>
      </w:r>
      <w:r>
        <w:fldChar w:fldCharType="end"/>
      </w:r>
      <w:r>
        <w:rPr>
          <w:b/>
          <w:i w:val="0"/>
          <w:color w:val="000000" w:themeColor="text1"/>
          <w:sz w:val="24"/>
          <w:szCs w:val="24"/>
        </w:rPr>
        <w:t xml:space="preserve">. </w:t>
      </w:r>
    </w:p>
    <w:p w14:paraId="48347AE8" w14:textId="77777777" w:rsidR="00500198" w:rsidRDefault="00500198" w:rsidP="00500198">
      <w:pPr>
        <w:pStyle w:val="Descripcin"/>
        <w:rPr>
          <w:i w:val="0"/>
          <w:color w:val="000000" w:themeColor="text1"/>
          <w:sz w:val="24"/>
          <w:szCs w:val="24"/>
        </w:rPr>
      </w:pPr>
      <w:r>
        <w:rPr>
          <w:color w:val="000000" w:themeColor="text1"/>
          <w:sz w:val="24"/>
          <w:szCs w:val="24"/>
        </w:rPr>
        <w:t>Actividades del expendedor</w:t>
      </w:r>
      <w:bookmarkEnd w:id="21"/>
    </w:p>
    <w:bookmarkEnd w:id="20"/>
    <w:p w14:paraId="205BE9FA" w14:textId="2A64BD17" w:rsidR="00500198" w:rsidRDefault="00500198" w:rsidP="00500198">
      <w:pPr>
        <w:pStyle w:val="Descripcin"/>
        <w:rPr>
          <w:rFonts w:cs="Arial"/>
          <w:b/>
          <w:bCs/>
          <w:i w:val="0"/>
          <w:color w:val="000000" w:themeColor="text1"/>
          <w:sz w:val="24"/>
          <w:szCs w:val="24"/>
        </w:rPr>
      </w:pPr>
      <w:r>
        <w:rPr>
          <w:rFonts w:eastAsia="Times New Roman" w:cs="Arial"/>
          <w:b/>
          <w:noProof/>
          <w:szCs w:val="24"/>
          <w:lang w:eastAsia="es-EC"/>
        </w:rPr>
        <w:lastRenderedPageBreak/>
        <w:drawing>
          <wp:inline distT="0" distB="0" distL="0" distR="0" wp14:anchorId="51072240" wp14:editId="29FA3FE2">
            <wp:extent cx="4524375" cy="2781300"/>
            <wp:effectExtent l="0" t="0" r="0" b="19050"/>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12BF18B" w14:textId="5D8079EF" w:rsidR="00500198" w:rsidRDefault="00500198" w:rsidP="00500198">
      <w:pPr>
        <w:rPr>
          <w:rFonts w:eastAsia="Calibri" w:cs="Arial"/>
          <w:bCs/>
          <w:szCs w:val="24"/>
        </w:rPr>
      </w:pPr>
      <w:r>
        <w:rPr>
          <w:rFonts w:eastAsia="Calibri" w:cs="Arial"/>
          <w:b/>
          <w:bCs/>
          <w:i/>
          <w:szCs w:val="24"/>
        </w:rPr>
        <w:t xml:space="preserve">Fuente: </w:t>
      </w:r>
      <w:r>
        <w:rPr>
          <w:rFonts w:eastAsia="Calibri" w:cs="Arial"/>
          <w:bCs/>
          <w:szCs w:val="24"/>
        </w:rPr>
        <w:t>Autora</w:t>
      </w:r>
    </w:p>
    <w:p w14:paraId="01CBE11C" w14:textId="77777777" w:rsidR="00500198" w:rsidRPr="00F11F29" w:rsidRDefault="00500198" w:rsidP="00F11F29">
      <w:pPr>
        <w:jc w:val="both"/>
        <w:rPr>
          <w:rFonts w:ascii="Arial" w:hAnsi="Arial" w:cs="Arial"/>
          <w:b/>
          <w:bCs/>
          <w:sz w:val="24"/>
          <w:szCs w:val="24"/>
        </w:rPr>
      </w:pPr>
      <w:bookmarkStart w:id="22" w:name="_Toc78285450"/>
      <w:r w:rsidRPr="00F11F29">
        <w:rPr>
          <w:rFonts w:ascii="Arial" w:hAnsi="Arial" w:cs="Arial"/>
          <w:b/>
          <w:bCs/>
          <w:sz w:val="24"/>
          <w:szCs w:val="24"/>
        </w:rPr>
        <w:t>CATEGORIZACIÓN DEL CONOCIMIENTO Y COMPORTAMIENTO INICIAL SOBRE NORMAS DE BIOSEGURIDAD Y SANEAMIENTO AMBIENTAL INICIAL DE LOS TRABAJADORES DEL MERCADO MUNICIPAL DE BAHÍA DE CARÁQUEZ</w:t>
      </w:r>
      <w:bookmarkEnd w:id="22"/>
    </w:p>
    <w:p w14:paraId="06C62445" w14:textId="0D39988A" w:rsidR="00F11F29" w:rsidRPr="00F11F29" w:rsidRDefault="00500198" w:rsidP="00F11F29">
      <w:pPr>
        <w:spacing w:line="360" w:lineRule="auto"/>
        <w:jc w:val="both"/>
        <w:rPr>
          <w:rFonts w:ascii="Arial" w:eastAsiaTheme="majorEastAsia" w:hAnsi="Arial" w:cs="Arial"/>
          <w:sz w:val="24"/>
          <w:szCs w:val="28"/>
        </w:rPr>
      </w:pPr>
      <w:r w:rsidRPr="00F11F29">
        <w:rPr>
          <w:rFonts w:ascii="Arial" w:eastAsiaTheme="majorEastAsia" w:hAnsi="Arial" w:cs="Arial"/>
          <w:sz w:val="24"/>
          <w:szCs w:val="28"/>
        </w:rPr>
        <w:t>Se obtuvo la siguiente categorización del conocimiento y comportamiento antes de la aplicación de la estrategia reflejándose los siguientes datos:</w:t>
      </w:r>
    </w:p>
    <w:p w14:paraId="3EA5B56C" w14:textId="77777777" w:rsidR="00500198" w:rsidRDefault="00500198" w:rsidP="00500198">
      <w:pPr>
        <w:pStyle w:val="Descripcin"/>
        <w:rPr>
          <w:color w:val="000000" w:themeColor="text1"/>
          <w:sz w:val="24"/>
        </w:rPr>
      </w:pPr>
      <w:bookmarkStart w:id="23" w:name="_Toc78285518"/>
      <w:r>
        <w:rPr>
          <w:b/>
          <w:color w:val="000000" w:themeColor="text1"/>
          <w:sz w:val="24"/>
        </w:rPr>
        <w:t xml:space="preserve">Figura </w:t>
      </w:r>
      <w:r>
        <w:fldChar w:fldCharType="begin"/>
      </w:r>
      <w:r>
        <w:rPr>
          <w:b/>
          <w:color w:val="000000" w:themeColor="text1"/>
          <w:sz w:val="24"/>
        </w:rPr>
        <w:instrText xml:space="preserve"> STYLEREF 1 \s </w:instrText>
      </w:r>
      <w:r>
        <w:fldChar w:fldCharType="separate"/>
      </w:r>
      <w:r>
        <w:rPr>
          <w:b/>
          <w:noProof/>
          <w:color w:val="000000" w:themeColor="text1"/>
          <w:sz w:val="24"/>
        </w:rPr>
        <w:t>4</w:t>
      </w:r>
      <w:r>
        <w:fldChar w:fldCharType="end"/>
      </w:r>
      <w:r>
        <w:rPr>
          <w:b/>
          <w:color w:val="000000" w:themeColor="text1"/>
          <w:sz w:val="24"/>
        </w:rPr>
        <w:t>.</w:t>
      </w:r>
      <w:r>
        <w:fldChar w:fldCharType="begin"/>
      </w:r>
      <w:r>
        <w:rPr>
          <w:b/>
          <w:color w:val="000000" w:themeColor="text1"/>
          <w:sz w:val="24"/>
        </w:rPr>
        <w:instrText xml:space="preserve"> SEQ Figura \* ARABIC \s 1 </w:instrText>
      </w:r>
      <w:r>
        <w:fldChar w:fldCharType="separate"/>
      </w:r>
      <w:r>
        <w:rPr>
          <w:b/>
          <w:noProof/>
          <w:color w:val="000000" w:themeColor="text1"/>
          <w:sz w:val="24"/>
        </w:rPr>
        <w:t>5</w:t>
      </w:r>
      <w:r>
        <w:fldChar w:fldCharType="end"/>
      </w:r>
      <w:r>
        <w:rPr>
          <w:b/>
          <w:color w:val="000000" w:themeColor="text1"/>
          <w:sz w:val="24"/>
        </w:rPr>
        <w:t>.</w:t>
      </w:r>
      <w:r>
        <w:rPr>
          <w:color w:val="000000" w:themeColor="text1"/>
          <w:sz w:val="24"/>
        </w:rPr>
        <w:t xml:space="preserve"> </w:t>
      </w:r>
    </w:p>
    <w:p w14:paraId="762DB42F" w14:textId="3CD06439" w:rsidR="00500198" w:rsidRDefault="00500198" w:rsidP="00500198">
      <w:pPr>
        <w:pStyle w:val="Descripcin"/>
        <w:rPr>
          <w:rFonts w:eastAsiaTheme="majorEastAsia" w:cstheme="majorBidi"/>
          <w:color w:val="000000" w:themeColor="text1"/>
          <w:sz w:val="24"/>
          <w:szCs w:val="24"/>
        </w:rPr>
      </w:pPr>
      <w:r>
        <w:rPr>
          <w:color w:val="000000" w:themeColor="text1"/>
          <w:sz w:val="24"/>
        </w:rPr>
        <w:t>Valoración del conocimiento y comportamiento inicial (antes)</w:t>
      </w:r>
      <w:r>
        <w:rPr>
          <w:noProof/>
          <w:lang w:eastAsia="es-EC"/>
        </w:rPr>
        <w:drawing>
          <wp:anchor distT="0" distB="0" distL="114300" distR="114300" simplePos="0" relativeHeight="251653120" behindDoc="0" locked="0" layoutInCell="1" allowOverlap="1" wp14:anchorId="587B1201" wp14:editId="1842269F">
            <wp:simplePos x="0" y="0"/>
            <wp:positionH relativeFrom="column">
              <wp:posOffset>2742565</wp:posOffset>
            </wp:positionH>
            <wp:positionV relativeFrom="paragraph">
              <wp:posOffset>540385</wp:posOffset>
            </wp:positionV>
            <wp:extent cx="2988310" cy="2591435"/>
            <wp:effectExtent l="0" t="0" r="2540" b="0"/>
            <wp:wrapTopAndBottom/>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bookmarkEnd w:id="23"/>
    </w:p>
    <w:p w14:paraId="52665653" w14:textId="55DBAD88" w:rsidR="00500198" w:rsidRDefault="00500198" w:rsidP="00500198">
      <w:pPr>
        <w:rPr>
          <w:rFonts w:eastAsiaTheme="majorEastAsia" w:cstheme="majorBidi"/>
          <w:color w:val="000000" w:themeColor="text1"/>
          <w:sz w:val="24"/>
          <w:szCs w:val="24"/>
        </w:rPr>
      </w:pPr>
      <w:r>
        <w:rPr>
          <w:noProof/>
          <w:lang w:eastAsia="es-EC"/>
        </w:rPr>
        <mc:AlternateContent>
          <mc:Choice Requires="wps">
            <w:drawing>
              <wp:anchor distT="0" distB="0" distL="114300" distR="114300" simplePos="0" relativeHeight="251654144" behindDoc="0" locked="0" layoutInCell="1" allowOverlap="1" wp14:anchorId="046E83C3" wp14:editId="5F13C228">
                <wp:simplePos x="0" y="0"/>
                <wp:positionH relativeFrom="margin">
                  <wp:align>left</wp:align>
                </wp:positionH>
                <wp:positionV relativeFrom="paragraph">
                  <wp:posOffset>13335</wp:posOffset>
                </wp:positionV>
                <wp:extent cx="5543550" cy="2782570"/>
                <wp:effectExtent l="0" t="0" r="19050" b="17780"/>
                <wp:wrapNone/>
                <wp:docPr id="257" name="Rectángulo 257"/>
                <wp:cNvGraphicFramePr/>
                <a:graphic xmlns:a="http://schemas.openxmlformats.org/drawingml/2006/main">
                  <a:graphicData uri="http://schemas.microsoft.com/office/word/2010/wordprocessingShape">
                    <wps:wsp>
                      <wps:cNvSpPr/>
                      <wps:spPr>
                        <a:xfrm>
                          <a:off x="0" y="0"/>
                          <a:ext cx="5543550" cy="278257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364D2B7" id="Rectángulo 257" o:spid="_x0000_s1026" style="position:absolute;margin-left:0;margin-top:1.05pt;width:436.5pt;height:219.1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" filled="f" strokecolor="black [3200]" strokeweight="1pt">
                <w10:wrap anchorx="margin"/>
              </v:rect>
            </w:pict>
          </mc:Fallback>
        </mc:AlternateContent>
      </w:r>
      <w:r>
        <w:rPr>
          <w:noProof/>
          <w:lang w:eastAsia="es-EC"/>
        </w:rPr>
        <w:drawing>
          <wp:anchor distT="0" distB="0" distL="114300" distR="114300" simplePos="0" relativeHeight="251655168" behindDoc="1" locked="0" layoutInCell="1" allowOverlap="1" wp14:anchorId="1EC189B0" wp14:editId="0323EEB0">
            <wp:simplePos x="0" y="0"/>
            <wp:positionH relativeFrom="margin">
              <wp:posOffset>-40005</wp:posOffset>
            </wp:positionH>
            <wp:positionV relativeFrom="paragraph">
              <wp:posOffset>209550</wp:posOffset>
            </wp:positionV>
            <wp:extent cx="2988310" cy="2592070"/>
            <wp:effectExtent l="0" t="0" r="2540" b="0"/>
            <wp:wrapNone/>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3B0A93AE" w14:textId="77777777" w:rsidR="00500198" w:rsidRDefault="00500198" w:rsidP="00500198"/>
    <w:p w14:paraId="1FD058C6" w14:textId="77777777" w:rsidR="00500198" w:rsidRDefault="00500198" w:rsidP="00500198">
      <w:pPr>
        <w:rPr>
          <w:rFonts w:eastAsia="Calibri" w:cs="Arial"/>
          <w:bCs/>
          <w:szCs w:val="24"/>
        </w:rPr>
      </w:pPr>
      <w:r>
        <w:rPr>
          <w:rFonts w:eastAsia="Calibri" w:cs="Arial"/>
          <w:b/>
          <w:bCs/>
          <w:i/>
          <w:szCs w:val="24"/>
        </w:rPr>
        <w:t xml:space="preserve">Fuente: </w:t>
      </w:r>
      <w:r>
        <w:rPr>
          <w:rFonts w:eastAsia="Calibri" w:cs="Arial"/>
          <w:bCs/>
          <w:szCs w:val="24"/>
        </w:rPr>
        <w:t>Autora</w:t>
      </w:r>
    </w:p>
    <w:p w14:paraId="24D2AA3B" w14:textId="3C652CF6" w:rsidR="00500198" w:rsidRDefault="00500198" w:rsidP="00500198">
      <w:pPr>
        <w:spacing w:line="360" w:lineRule="auto"/>
        <w:jc w:val="both"/>
        <w:rPr>
          <w:rFonts w:ascii="Arial" w:eastAsia="Times New Roman" w:hAnsi="Arial" w:cs="Arial"/>
          <w:noProof/>
          <w:sz w:val="24"/>
          <w:szCs w:val="28"/>
          <w:lang w:val="es-ES"/>
        </w:rPr>
      </w:pPr>
      <w:r w:rsidRPr="00500198">
        <w:rPr>
          <w:rFonts w:ascii="Arial" w:hAnsi="Arial" w:cs="Arial"/>
          <w:sz w:val="24"/>
          <w:szCs w:val="28"/>
        </w:rPr>
        <w:lastRenderedPageBreak/>
        <w:t xml:space="preserve">Se evidencia que el 72% de los trabajadores del mercado municipal tienen bajo conocimiento sobre las normas de bioseguridad y saneamiento ambiental, </w:t>
      </w:r>
      <w:r w:rsidRPr="00500198">
        <w:rPr>
          <w:rFonts w:ascii="Arial" w:eastAsia="Times New Roman" w:hAnsi="Arial" w:cs="Arial"/>
          <w:sz w:val="24"/>
          <w:szCs w:val="28"/>
          <w:lang w:val="es-MX"/>
        </w:rPr>
        <w:t xml:space="preserve">Álvarez y Vega (2016) indican que la sociedad requiere alcanzar un nivel de conocimiento que fomente una nueva cultura intelectual de administración de los recursos y armonía ambiental , dado que en la actualidad, el uso indiscriminado de los recursos naturales es devastador, y la contaminación existente en las ciudades hace necesario alcanzar un verdadero desarrollo sostenible. Así mismo se reportó que </w:t>
      </w:r>
      <w:r w:rsidRPr="00500198">
        <w:rPr>
          <w:rFonts w:ascii="Arial" w:hAnsi="Arial" w:cs="Arial"/>
          <w:sz w:val="24"/>
          <w:szCs w:val="28"/>
        </w:rPr>
        <w:t>el 24% tiene un alto conocimiento y el 4% muy alto. En relación al comportamiento se denota que el 36% de los trabajadores realizan acciones acorde a las normas de bioseguridad y saneamiento ambiental teniendo un comportamiento aceptable, no obstante este valor es notorio  dado a que la situación biológica que se vive</w:t>
      </w:r>
      <w:r w:rsidRPr="00500198">
        <w:rPr>
          <w:rFonts w:ascii="Arial" w:eastAsia="Times New Roman" w:hAnsi="Arial" w:cs="Arial"/>
          <w:bCs/>
          <w:sz w:val="24"/>
          <w:szCs w:val="28"/>
          <w:lang w:val="es-MX"/>
        </w:rPr>
        <w:t xml:space="preserve"> ha provocado el uso permanente  de protocolo de bioseguridad y de esta manera se evitan contagios de COVID-19 tanto de los adjudicatarios como de los consumidores, lo que ha conllevado a que se  brinde mayor seguridad a los usuarios que acuden a estos centros</w:t>
      </w:r>
      <w:r w:rsidRPr="00500198">
        <w:rPr>
          <w:rFonts w:ascii="Arial" w:eastAsia="Times New Roman" w:hAnsi="Arial" w:cs="Arial"/>
          <w:sz w:val="24"/>
          <w:szCs w:val="28"/>
          <w:lang w:val="es-MX"/>
        </w:rPr>
        <w:t xml:space="preserve">. Por lo tanto, Hernández y Jiménez (2010) la conducta humana comprende la unificación del conocimiento, los valores, la sensibilidad y las actitudes positivas; que generan habilidades y procedimientos personales que manifiestan la pertenencia del ser humano al ambiente. Una de la estrategia aplicada a los sujetos en el estudio, consiste en dictar charlas y proyectar herramientas audiovisuales como los sustenta. De acuerdo a </w:t>
      </w:r>
      <w:r w:rsidRPr="00500198">
        <w:rPr>
          <w:rFonts w:ascii="Arial" w:eastAsia="Times New Roman" w:hAnsi="Arial" w:cs="Arial"/>
          <w:noProof/>
          <w:sz w:val="24"/>
          <w:szCs w:val="28"/>
          <w:lang w:val="es-ES"/>
        </w:rPr>
        <w:t>Adame (2015) los medios audiovisules son instrumentos tecnológicos que ayudan a presentar información mediante sistemas acústicos,ópticos, o una mezcla de ambos y que, pueden servir de complemento a otros recursos o medios de comunicación clásicos en la enseñanza como son las explicaciones orales con ayuda del proyector y parlantes.</w:t>
      </w:r>
    </w:p>
    <w:p w14:paraId="1D959384" w14:textId="77777777" w:rsidR="000C7F6B" w:rsidRPr="000C7F6B" w:rsidRDefault="000C7F6B" w:rsidP="000C7F6B">
      <w:pPr>
        <w:jc w:val="both"/>
        <w:rPr>
          <w:rFonts w:ascii="Arial" w:hAnsi="Arial" w:cs="Arial"/>
          <w:b/>
          <w:bCs/>
          <w:sz w:val="24"/>
          <w:szCs w:val="24"/>
        </w:rPr>
      </w:pPr>
      <w:bookmarkStart w:id="24" w:name="_Toc78285451"/>
      <w:r w:rsidRPr="000C7F6B">
        <w:rPr>
          <w:rFonts w:ascii="Arial" w:hAnsi="Arial" w:cs="Arial"/>
          <w:b/>
          <w:bCs/>
          <w:sz w:val="24"/>
          <w:szCs w:val="24"/>
        </w:rPr>
        <w:t>ESTRATEGIA DE EDUCACIÓN SOBRE NORMAS DE BIOSEGURIDAD Y SANEAMIENTO AMBIENTAL DURANTE LA PANDEMIA COVID-19 QUE INCREMENTE EL NIVEL DE CONOCIMIENTO Y COMPORTAMIENTO</w:t>
      </w:r>
      <w:bookmarkEnd w:id="24"/>
    </w:p>
    <w:p w14:paraId="0E48FD42" w14:textId="77777777" w:rsidR="000C7F6B" w:rsidRPr="000C7F6B" w:rsidRDefault="000C7F6B" w:rsidP="000C7F6B">
      <w:pPr>
        <w:jc w:val="both"/>
        <w:rPr>
          <w:rFonts w:ascii="Arial" w:eastAsiaTheme="majorEastAsia" w:hAnsi="Arial" w:cs="Arial"/>
          <w:b/>
          <w:bCs/>
          <w:sz w:val="26"/>
          <w:szCs w:val="26"/>
        </w:rPr>
      </w:pPr>
      <w:bookmarkStart w:id="25" w:name="_Toc78285452"/>
      <w:r w:rsidRPr="000C7F6B">
        <w:rPr>
          <w:rFonts w:ascii="Arial" w:hAnsi="Arial" w:cs="Arial"/>
          <w:b/>
          <w:bCs/>
          <w:sz w:val="26"/>
          <w:szCs w:val="26"/>
        </w:rPr>
        <w:t>ESTRATEGIA DE EDUCACIÓN A DESARROLLARSE EN EL MERCADO MUNICIPAL DE BAHÍA DE CARÁQUEZ</w:t>
      </w:r>
      <w:bookmarkEnd w:id="25"/>
    </w:p>
    <w:p w14:paraId="21287956" w14:textId="340ED776" w:rsidR="000C7F6B" w:rsidRPr="000C7F6B" w:rsidRDefault="000C7F6B" w:rsidP="000C7F6B">
      <w:pPr>
        <w:spacing w:line="360" w:lineRule="auto"/>
        <w:jc w:val="both"/>
        <w:rPr>
          <w:rFonts w:ascii="Arial" w:hAnsi="Arial" w:cs="Arial"/>
          <w:sz w:val="24"/>
          <w:szCs w:val="28"/>
        </w:rPr>
      </w:pPr>
      <w:r w:rsidRPr="000C7F6B">
        <w:rPr>
          <w:rFonts w:ascii="Arial" w:hAnsi="Arial" w:cs="Arial"/>
          <w:sz w:val="24"/>
          <w:szCs w:val="28"/>
        </w:rPr>
        <w:t xml:space="preserve">De acuerdo con el diagnóstico realizado se trabajó con la estrategia edumedia-comunicación como se puede observar en la tabla 4.3, con la impartición de Charlas y proyección Medios Audio Visuales  de You Tube y National Geographic sobre (cómo se contagia la comunidad por Covid-19, correcto lavado de manos </w:t>
      </w:r>
      <w:r w:rsidRPr="000C7F6B">
        <w:rPr>
          <w:rFonts w:ascii="Arial" w:hAnsi="Arial" w:cs="Arial"/>
          <w:sz w:val="24"/>
          <w:szCs w:val="28"/>
        </w:rPr>
        <w:lastRenderedPageBreak/>
        <w:t xml:space="preserve">y coronavirus alerta ambiental mundial), estas tecnologías con actividades orientadas a la problematización, participación, reflexión, debate y la posterior producción de algún material resultante de la temática abordada, denotan un interesante potencial para desarrollar en las personas un pensamiento visual fundamentado en una realidad social más preocupada por realizar actividades con condiciones sanitarias que salvaguarden la bioseguridad del cliente y expendedor  </w:t>
      </w:r>
      <w:sdt>
        <w:sdtPr>
          <w:rPr>
            <w:rFonts w:ascii="Arial" w:hAnsi="Arial" w:cs="Arial"/>
            <w:sz w:val="24"/>
            <w:szCs w:val="28"/>
          </w:rPr>
          <w:id w:val="1928927269"/>
          <w:citation/>
        </w:sdtPr>
        <w:sdtEndPr/>
        <w:sdtContent>
          <w:r w:rsidRPr="000C7F6B">
            <w:rPr>
              <w:rFonts w:ascii="Arial" w:hAnsi="Arial" w:cs="Arial"/>
              <w:sz w:val="24"/>
              <w:szCs w:val="28"/>
            </w:rPr>
            <w:fldChar w:fldCharType="begin"/>
          </w:r>
          <w:r w:rsidRPr="000C7F6B">
            <w:rPr>
              <w:rFonts w:ascii="Arial" w:hAnsi="Arial" w:cs="Arial"/>
              <w:sz w:val="24"/>
              <w:szCs w:val="28"/>
            </w:rPr>
            <w:instrText xml:space="preserve"> CITATION Lan13 \l 12298 </w:instrText>
          </w:r>
          <w:r w:rsidRPr="000C7F6B">
            <w:rPr>
              <w:rFonts w:ascii="Arial" w:hAnsi="Arial" w:cs="Arial"/>
              <w:sz w:val="24"/>
              <w:szCs w:val="28"/>
            </w:rPr>
            <w:fldChar w:fldCharType="separate"/>
          </w:r>
          <w:r w:rsidRPr="000C7F6B">
            <w:rPr>
              <w:rFonts w:ascii="Arial" w:hAnsi="Arial" w:cs="Arial"/>
              <w:sz w:val="24"/>
              <w:szCs w:val="28"/>
            </w:rPr>
            <w:t>(Lanson, 2013)</w:t>
          </w:r>
          <w:r w:rsidRPr="000C7F6B">
            <w:rPr>
              <w:rFonts w:ascii="Arial" w:hAnsi="Arial" w:cs="Arial"/>
              <w:sz w:val="24"/>
              <w:szCs w:val="28"/>
            </w:rPr>
            <w:fldChar w:fldCharType="end"/>
          </w:r>
        </w:sdtContent>
      </w:sdt>
      <w:r w:rsidRPr="000C7F6B">
        <w:rPr>
          <w:rFonts w:ascii="Arial" w:hAnsi="Arial" w:cs="Arial"/>
          <w:sz w:val="24"/>
          <w:szCs w:val="28"/>
        </w:rPr>
        <w:t xml:space="preserve">. </w:t>
      </w:r>
    </w:p>
    <w:p w14:paraId="2D887F56" w14:textId="77777777" w:rsidR="001D72FA" w:rsidRPr="00754429" w:rsidRDefault="001D72FA" w:rsidP="00754429">
      <w:pPr>
        <w:jc w:val="both"/>
        <w:rPr>
          <w:rFonts w:ascii="Arial" w:hAnsi="Arial" w:cs="Arial"/>
          <w:b/>
          <w:bCs/>
          <w:sz w:val="24"/>
          <w:szCs w:val="24"/>
        </w:rPr>
      </w:pPr>
      <w:bookmarkStart w:id="26" w:name="_Toc78285453"/>
      <w:r w:rsidRPr="00754429">
        <w:rPr>
          <w:rFonts w:ascii="Arial" w:hAnsi="Arial" w:cs="Arial"/>
          <w:b/>
          <w:bCs/>
          <w:sz w:val="24"/>
          <w:szCs w:val="24"/>
        </w:rPr>
        <w:t>VALORACIÓN DEL CONOCIMIENTO Y COMPORTAMIENTO DE LOS TRABAJADORES DESPUÉS DE LA APLICACIÓN DE LA ESTRATEGIA</w:t>
      </w:r>
      <w:bookmarkEnd w:id="26"/>
    </w:p>
    <w:p w14:paraId="6889C867" w14:textId="1DE743AA" w:rsidR="001D72FA" w:rsidRPr="00754429" w:rsidRDefault="001D72FA" w:rsidP="00754429">
      <w:pPr>
        <w:spacing w:line="360" w:lineRule="auto"/>
        <w:jc w:val="both"/>
        <w:rPr>
          <w:rFonts w:ascii="Arial" w:hAnsi="Arial" w:cs="Arial"/>
          <w:sz w:val="24"/>
          <w:szCs w:val="24"/>
        </w:rPr>
      </w:pPr>
      <w:r w:rsidRPr="00754429">
        <w:rPr>
          <w:rFonts w:ascii="Arial" w:hAnsi="Arial" w:cs="Arial"/>
          <w:sz w:val="24"/>
          <w:szCs w:val="24"/>
        </w:rPr>
        <w:t>Con la aplicación de la encuesta para la evaluación del conocimiento y comportamiento sobre las normas de bioseguridad y saneamiento ambiental, desarrollada la estrategia edumedia-comunicación se detallan los resultados obtenidos por los empleados del Mercado Municipal de Bahía de Caráquez.</w:t>
      </w:r>
    </w:p>
    <w:p w14:paraId="08DA002C" w14:textId="77777777" w:rsidR="001D72FA" w:rsidRDefault="001D72FA" w:rsidP="001D72FA">
      <w:pPr>
        <w:pStyle w:val="Descripcin"/>
        <w:spacing w:after="0"/>
        <w:rPr>
          <w:color w:val="000000" w:themeColor="text1"/>
          <w:sz w:val="24"/>
          <w:szCs w:val="24"/>
        </w:rPr>
      </w:pPr>
      <w:bookmarkStart w:id="27" w:name="_Toc78285506"/>
      <w:r>
        <w:rPr>
          <w:b/>
          <w:color w:val="000000" w:themeColor="text1"/>
          <w:sz w:val="24"/>
          <w:szCs w:val="24"/>
        </w:rPr>
        <w:t xml:space="preserve">Tabla </w:t>
      </w:r>
      <w:r>
        <w:fldChar w:fldCharType="begin"/>
      </w:r>
      <w:r>
        <w:rPr>
          <w:b/>
          <w:color w:val="000000" w:themeColor="text1"/>
          <w:sz w:val="24"/>
          <w:szCs w:val="24"/>
        </w:rPr>
        <w:instrText xml:space="preserve"> STYLEREF 1 \s </w:instrText>
      </w:r>
      <w:r>
        <w:fldChar w:fldCharType="separate"/>
      </w:r>
      <w:r>
        <w:rPr>
          <w:b/>
          <w:noProof/>
          <w:color w:val="000000" w:themeColor="text1"/>
          <w:sz w:val="24"/>
          <w:szCs w:val="24"/>
        </w:rPr>
        <w:t>4</w:t>
      </w:r>
      <w:r>
        <w:fldChar w:fldCharType="end"/>
      </w:r>
      <w:r>
        <w:rPr>
          <w:b/>
          <w:color w:val="000000" w:themeColor="text1"/>
          <w:sz w:val="24"/>
          <w:szCs w:val="24"/>
        </w:rPr>
        <w:t>.</w:t>
      </w:r>
      <w:r>
        <w:fldChar w:fldCharType="begin"/>
      </w:r>
      <w:r>
        <w:rPr>
          <w:b/>
          <w:color w:val="000000" w:themeColor="text1"/>
          <w:sz w:val="24"/>
          <w:szCs w:val="24"/>
        </w:rPr>
        <w:instrText xml:space="preserve"> SEQ Tabla \* ARABIC \s 1 </w:instrText>
      </w:r>
      <w:r>
        <w:fldChar w:fldCharType="separate"/>
      </w:r>
      <w:r>
        <w:rPr>
          <w:b/>
          <w:noProof/>
          <w:color w:val="000000" w:themeColor="text1"/>
          <w:sz w:val="24"/>
          <w:szCs w:val="24"/>
        </w:rPr>
        <w:t>4</w:t>
      </w:r>
      <w:r>
        <w:fldChar w:fldCharType="end"/>
      </w:r>
      <w:r>
        <w:rPr>
          <w:color w:val="000000" w:themeColor="text1"/>
          <w:sz w:val="24"/>
          <w:szCs w:val="24"/>
        </w:rPr>
        <w:t xml:space="preserve">. </w:t>
      </w:r>
    </w:p>
    <w:p w14:paraId="2E4548EA" w14:textId="77777777" w:rsidR="001D72FA" w:rsidRDefault="001D72FA" w:rsidP="001D72FA">
      <w:pPr>
        <w:pStyle w:val="Descripcin"/>
        <w:spacing w:after="0"/>
        <w:rPr>
          <w:rFonts w:cs="Arial"/>
          <w:b/>
          <w:color w:val="000000" w:themeColor="text1"/>
          <w:sz w:val="24"/>
          <w:szCs w:val="24"/>
        </w:rPr>
      </w:pPr>
      <w:r>
        <w:rPr>
          <w:color w:val="000000" w:themeColor="text1"/>
          <w:sz w:val="24"/>
          <w:szCs w:val="24"/>
        </w:rPr>
        <w:t>Valoración del conocimiento y comportamiento (Después)</w:t>
      </w:r>
      <w:bookmarkEnd w:id="27"/>
      <w:r>
        <w:rPr>
          <w:rFonts w:cs="Arial"/>
          <w:b/>
          <w:color w:val="000000" w:themeColor="text1"/>
          <w:sz w:val="24"/>
          <w:szCs w:val="24"/>
        </w:rPr>
        <w:t xml:space="preserve"> </w:t>
      </w:r>
    </w:p>
    <w:p w14:paraId="330B03F0" w14:textId="3F8D3D0A" w:rsidR="001D72FA" w:rsidRDefault="001D72FA" w:rsidP="001D72FA">
      <w:pPr>
        <w:rPr>
          <w:rFonts w:cs="Arial"/>
          <w:color w:val="000000" w:themeColor="text1"/>
          <w:sz w:val="24"/>
          <w:szCs w:val="24"/>
        </w:rPr>
      </w:pPr>
      <w:r>
        <w:rPr>
          <w:noProof/>
          <w:lang w:eastAsia="es-EC"/>
        </w:rPr>
        <w:drawing>
          <wp:anchor distT="0" distB="0" distL="114300" distR="114300" simplePos="0" relativeHeight="251657216" behindDoc="1" locked="0" layoutInCell="1" allowOverlap="1" wp14:anchorId="643E81D0" wp14:editId="78E68BC7">
            <wp:simplePos x="0" y="0"/>
            <wp:positionH relativeFrom="margin">
              <wp:posOffset>2436495</wp:posOffset>
            </wp:positionH>
            <wp:positionV relativeFrom="paragraph">
              <wp:posOffset>13970</wp:posOffset>
            </wp:positionV>
            <wp:extent cx="2760980" cy="2400300"/>
            <wp:effectExtent l="0" t="0" r="0" b="0"/>
            <wp:wrapNone/>
            <wp:docPr id="261" name="Gráfico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56192" behindDoc="0" locked="0" layoutInCell="1" allowOverlap="1" wp14:anchorId="4D070744" wp14:editId="10F8F1DF">
                <wp:simplePos x="0" y="0"/>
                <wp:positionH relativeFrom="margin">
                  <wp:align>left</wp:align>
                </wp:positionH>
                <wp:positionV relativeFrom="paragraph">
                  <wp:posOffset>13970</wp:posOffset>
                </wp:positionV>
                <wp:extent cx="5328285" cy="2453005"/>
                <wp:effectExtent l="0" t="0" r="24765" b="23495"/>
                <wp:wrapNone/>
                <wp:docPr id="256" name="Cuadro de texto 256"/>
                <wp:cNvGraphicFramePr/>
                <a:graphic xmlns:a="http://schemas.openxmlformats.org/drawingml/2006/main">
                  <a:graphicData uri="http://schemas.microsoft.com/office/word/2010/wordprocessingShape">
                    <wps:wsp>
                      <wps:cNvSpPr txBox="1"/>
                      <wps:spPr>
                        <a:xfrm>
                          <a:off x="0" y="0"/>
                          <a:ext cx="5327650" cy="2453005"/>
                        </a:xfrm>
                        <a:prstGeom prst="rect">
                          <a:avLst/>
                        </a:prstGeom>
                        <a:noFill/>
                        <a:ln w="6350">
                          <a:solidFill>
                            <a:prstClr val="black"/>
                          </a:solidFill>
                        </a:ln>
                      </wps:spPr>
                      <wps:txbx>
                        <w:txbxContent>
                          <w:p w14:paraId="428EDCF4" w14:textId="3CA8276C" w:rsidR="001D72FA" w:rsidRDefault="001D72FA" w:rsidP="001D72FA">
                            <w:r>
                              <w:rPr>
                                <w:noProof/>
                                <w:sz w:val="20"/>
                                <w:szCs w:val="20"/>
                                <w:lang w:eastAsia="es-EC"/>
                              </w:rPr>
                              <w:drawing>
                                <wp:inline distT="0" distB="0" distL="0" distR="0" wp14:anchorId="21AE9B77" wp14:editId="367EE1C6">
                                  <wp:extent cx="2724150" cy="2466975"/>
                                  <wp:effectExtent l="0" t="0" r="0"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D070744" id="_x0000_t202" coordsize="21600,21600" o:spt="202" path="m,l,21600r21600,l21600,xe">
                <v:stroke joinstyle="miter"/>
                <v:path gradientshapeok="t" o:connecttype="rect"/>
              </v:shapetype>
              <v:shape id="Cuadro de texto 256" o:spid="_x0000_s1026" type="#_x0000_t202" style="position:absolute;margin-left:0;margin-top:1.1pt;width:419.55pt;height:193.1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" filled="f" strokeweight=".5pt">
                <v:textbox>
                  <w:txbxContent>
                    <w:p w14:paraId="428EDCF4" w14:textId="3CA8276C" w:rsidR="001D72FA" w:rsidRDefault="001D72FA" w:rsidP="001D72FA">
                      <w:r>
                        <w:rPr>
                          <w:noProof/>
                          <w:sz w:val="20"/>
                          <w:szCs w:val="20"/>
                          <w:lang w:eastAsia="es-EC"/>
                        </w:rPr>
                        <w:drawing>
                          <wp:inline distT="0" distB="0" distL="0" distR="0" wp14:anchorId="21AE9B77" wp14:editId="367EE1C6">
                            <wp:extent cx="2724150" cy="2466975"/>
                            <wp:effectExtent l="0" t="0" r="0"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v:textbox>
                <w10:wrap anchorx="margin"/>
              </v:shape>
            </w:pict>
          </mc:Fallback>
        </mc:AlternateContent>
      </w:r>
    </w:p>
    <w:p w14:paraId="48A2DA3D" w14:textId="77777777" w:rsidR="001D72FA" w:rsidRDefault="001D72FA" w:rsidP="001D72FA">
      <w:pPr>
        <w:rPr>
          <w:rFonts w:cs="Arial"/>
          <w:szCs w:val="24"/>
        </w:rPr>
      </w:pPr>
    </w:p>
    <w:p w14:paraId="2A9B3E03" w14:textId="77777777" w:rsidR="001D72FA" w:rsidRDefault="001D72FA" w:rsidP="001D72FA">
      <w:pPr>
        <w:rPr>
          <w:rFonts w:cs="Arial"/>
          <w:szCs w:val="24"/>
        </w:rPr>
      </w:pPr>
    </w:p>
    <w:p w14:paraId="20A6C97D" w14:textId="77777777" w:rsidR="001D72FA" w:rsidRDefault="001D72FA" w:rsidP="001D72FA">
      <w:pPr>
        <w:rPr>
          <w:rFonts w:cs="Arial"/>
          <w:szCs w:val="24"/>
        </w:rPr>
      </w:pPr>
    </w:p>
    <w:p w14:paraId="398C966E" w14:textId="77777777" w:rsidR="001D72FA" w:rsidRDefault="001D72FA" w:rsidP="001D72FA">
      <w:pPr>
        <w:rPr>
          <w:rFonts w:cs="Arial"/>
          <w:szCs w:val="24"/>
        </w:rPr>
      </w:pPr>
    </w:p>
    <w:p w14:paraId="6173C184" w14:textId="77777777" w:rsidR="001D72FA" w:rsidRDefault="001D72FA" w:rsidP="001D72FA">
      <w:pPr>
        <w:rPr>
          <w:rFonts w:cs="Arial"/>
          <w:szCs w:val="24"/>
        </w:rPr>
      </w:pPr>
    </w:p>
    <w:p w14:paraId="30D3D0B4" w14:textId="77777777" w:rsidR="001D72FA" w:rsidRDefault="001D72FA" w:rsidP="001D72FA">
      <w:pPr>
        <w:rPr>
          <w:rFonts w:cs="Arial"/>
          <w:szCs w:val="24"/>
        </w:rPr>
      </w:pPr>
    </w:p>
    <w:p w14:paraId="575CDECD" w14:textId="77777777" w:rsidR="00754429" w:rsidRDefault="00754429" w:rsidP="001D72FA">
      <w:pPr>
        <w:rPr>
          <w:b/>
        </w:rPr>
      </w:pPr>
    </w:p>
    <w:p w14:paraId="3B74A638" w14:textId="77777777" w:rsidR="00754429" w:rsidRDefault="00754429" w:rsidP="001D72FA">
      <w:pPr>
        <w:rPr>
          <w:b/>
        </w:rPr>
      </w:pPr>
    </w:p>
    <w:p w14:paraId="17DC1175" w14:textId="05197B41" w:rsidR="00754429" w:rsidRPr="00754429" w:rsidRDefault="001D72FA" w:rsidP="00754429">
      <w:r>
        <w:rPr>
          <w:b/>
        </w:rPr>
        <w:t>Fuente:</w:t>
      </w:r>
      <w:r>
        <w:t xml:space="preserve"> Autora</w:t>
      </w:r>
    </w:p>
    <w:p w14:paraId="44231521" w14:textId="22A465A4" w:rsidR="001D72FA" w:rsidRPr="00754429" w:rsidRDefault="001D72FA" w:rsidP="00754429">
      <w:pPr>
        <w:spacing w:line="360" w:lineRule="auto"/>
        <w:jc w:val="both"/>
        <w:rPr>
          <w:rFonts w:ascii="Arial" w:hAnsi="Arial" w:cs="Arial"/>
          <w:sz w:val="24"/>
          <w:szCs w:val="24"/>
        </w:rPr>
      </w:pPr>
      <w:r w:rsidRPr="00754429">
        <w:rPr>
          <w:rFonts w:ascii="Arial" w:hAnsi="Arial" w:cs="Arial"/>
          <w:sz w:val="24"/>
          <w:szCs w:val="24"/>
        </w:rPr>
        <w:t xml:space="preserve">El 60% presento un conocimiento alto, el 20% muy alto, mientras que el 20% bajo. A su vez, el 68% tuvo un comportamiento aceptable y el 32% no aceptable. Después de la aplicación de la estrategia se incrementó el conocimiento (52%) y comportamiento (32%) en los expendedores. Datos relacionados con </w:t>
      </w:r>
      <w:r w:rsidRPr="00754429">
        <w:rPr>
          <w:rFonts w:ascii="Arial" w:hAnsi="Arial" w:cs="Arial"/>
          <w:noProof/>
          <w:sz w:val="24"/>
          <w:szCs w:val="24"/>
          <w:lang w:val="es-ES"/>
        </w:rPr>
        <w:t>Menéndez (2018)</w:t>
      </w:r>
      <w:r w:rsidRPr="00754429">
        <w:rPr>
          <w:rFonts w:ascii="Arial" w:hAnsi="Arial" w:cs="Arial"/>
          <w:sz w:val="24"/>
          <w:szCs w:val="24"/>
          <w:lang w:val="es-ES"/>
        </w:rPr>
        <w:t xml:space="preserve"> </w:t>
      </w:r>
      <w:r w:rsidRPr="00754429">
        <w:rPr>
          <w:rFonts w:ascii="Arial" w:hAnsi="Arial" w:cs="Arial"/>
          <w:sz w:val="24"/>
          <w:szCs w:val="24"/>
        </w:rPr>
        <w:t>en la elaboración de un plan de residuos sólidos, el 75% de los participantes adquirieron conocimientos prácticos de saneamiento ambiental y bioseguridad; así mismo el 50% presentó un comportamiento adecuado Menciona</w:t>
      </w:r>
      <w:r w:rsidRPr="00754429">
        <w:rPr>
          <w:rFonts w:ascii="Arial" w:hAnsi="Arial" w:cs="Arial"/>
          <w:noProof/>
          <w:sz w:val="24"/>
          <w:szCs w:val="24"/>
          <w:lang w:val="es-ES"/>
        </w:rPr>
        <w:t xml:space="preserve"> Leno (2015) y </w:t>
      </w:r>
      <w:r w:rsidRPr="00754429">
        <w:rPr>
          <w:rFonts w:ascii="Arial" w:hAnsi="Arial" w:cs="Arial"/>
          <w:sz w:val="24"/>
          <w:szCs w:val="24"/>
        </w:rPr>
        <w:t>Fondo</w:t>
      </w:r>
      <w:r w:rsidRPr="00754429">
        <w:rPr>
          <w:rFonts w:ascii="Arial" w:hAnsi="Arial" w:cs="Arial"/>
          <w:noProof/>
          <w:sz w:val="24"/>
          <w:szCs w:val="24"/>
        </w:rPr>
        <w:t xml:space="preserve"> de las Naciones Unidas para la Infancia </w:t>
      </w:r>
      <w:r w:rsidRPr="00754429">
        <w:rPr>
          <w:rFonts w:ascii="Arial" w:hAnsi="Arial" w:cs="Arial"/>
          <w:noProof/>
          <w:sz w:val="24"/>
          <w:szCs w:val="24"/>
        </w:rPr>
        <w:lastRenderedPageBreak/>
        <w:t xml:space="preserve">[UNICEF] (2020) </w:t>
      </w:r>
      <w:r w:rsidRPr="00754429">
        <w:rPr>
          <w:rFonts w:ascii="Arial" w:hAnsi="Arial" w:cs="Arial"/>
          <w:sz w:val="24"/>
          <w:szCs w:val="24"/>
        </w:rPr>
        <w:t>que, en crisis sanitarias, la limpieza de entornos, cuadra de las casas disminuye la propagación del virus y por otro lado resaltan la importancia de implementar medidas y procedimientos para evitar contagios contribuyendo a la cultura sanitaria en tiempos de COVID-19.</w:t>
      </w:r>
    </w:p>
    <w:p w14:paraId="10EE6E08" w14:textId="77777777" w:rsidR="001D72FA" w:rsidRPr="00754429" w:rsidRDefault="001D72FA" w:rsidP="00754429">
      <w:pPr>
        <w:jc w:val="both"/>
        <w:rPr>
          <w:rFonts w:ascii="Arial" w:hAnsi="Arial" w:cs="Arial"/>
          <w:b/>
          <w:bCs/>
          <w:sz w:val="24"/>
          <w:szCs w:val="24"/>
        </w:rPr>
      </w:pPr>
      <w:bookmarkStart w:id="28" w:name="_Toc78285454"/>
      <w:r w:rsidRPr="00754429">
        <w:rPr>
          <w:rFonts w:ascii="Arial" w:hAnsi="Arial" w:cs="Arial"/>
          <w:b/>
          <w:bCs/>
          <w:sz w:val="24"/>
          <w:szCs w:val="24"/>
        </w:rPr>
        <w:t>ANÁLISIS DE LA VARIANZA (ANOVA) DE LA RELACIÓN DEL NIVEL DE CONOCIMIENTO Y COMPORTAMIENTO DE LOS TRABAJADORES DEL MERCADO MUNICIPAL.</w:t>
      </w:r>
      <w:bookmarkEnd w:id="28"/>
      <w:r w:rsidRPr="00754429">
        <w:rPr>
          <w:rFonts w:ascii="Arial" w:hAnsi="Arial" w:cs="Arial"/>
          <w:b/>
          <w:bCs/>
          <w:sz w:val="24"/>
          <w:szCs w:val="24"/>
        </w:rPr>
        <w:t xml:space="preserve"> </w:t>
      </w:r>
    </w:p>
    <w:p w14:paraId="25FFD09F" w14:textId="77777777" w:rsidR="001D72FA" w:rsidRDefault="001D72FA" w:rsidP="001D72FA">
      <w:pPr>
        <w:pStyle w:val="Descripcin"/>
        <w:keepNext/>
        <w:rPr>
          <w:color w:val="000000" w:themeColor="text1"/>
          <w:sz w:val="24"/>
        </w:rPr>
      </w:pPr>
      <w:bookmarkStart w:id="29" w:name="_Toc78285507"/>
      <w:r>
        <w:rPr>
          <w:b/>
          <w:i w:val="0"/>
          <w:color w:val="000000" w:themeColor="text1"/>
          <w:sz w:val="24"/>
        </w:rPr>
        <w:t xml:space="preserve">Tabla </w:t>
      </w:r>
      <w:r>
        <w:fldChar w:fldCharType="begin"/>
      </w:r>
      <w:r>
        <w:rPr>
          <w:b/>
          <w:i w:val="0"/>
          <w:color w:val="000000" w:themeColor="text1"/>
          <w:sz w:val="24"/>
        </w:rPr>
        <w:instrText xml:space="preserve"> STYLEREF 1 \s </w:instrText>
      </w:r>
      <w:r>
        <w:fldChar w:fldCharType="separate"/>
      </w:r>
      <w:r>
        <w:rPr>
          <w:b/>
          <w:i w:val="0"/>
          <w:noProof/>
          <w:color w:val="000000" w:themeColor="text1"/>
          <w:sz w:val="24"/>
        </w:rPr>
        <w:t>4</w:t>
      </w:r>
      <w:r>
        <w:fldChar w:fldCharType="end"/>
      </w:r>
      <w:r>
        <w:rPr>
          <w:b/>
          <w:i w:val="0"/>
          <w:color w:val="000000" w:themeColor="text1"/>
          <w:sz w:val="24"/>
        </w:rPr>
        <w:t>.</w:t>
      </w:r>
      <w:r>
        <w:fldChar w:fldCharType="begin"/>
      </w:r>
      <w:r>
        <w:rPr>
          <w:b/>
          <w:i w:val="0"/>
          <w:color w:val="000000" w:themeColor="text1"/>
          <w:sz w:val="24"/>
        </w:rPr>
        <w:instrText xml:space="preserve"> SEQ Tabla \* ARABIC \s 1 </w:instrText>
      </w:r>
      <w:r>
        <w:fldChar w:fldCharType="separate"/>
      </w:r>
      <w:r>
        <w:rPr>
          <w:b/>
          <w:i w:val="0"/>
          <w:noProof/>
          <w:color w:val="000000" w:themeColor="text1"/>
          <w:sz w:val="24"/>
        </w:rPr>
        <w:t>5</w:t>
      </w:r>
      <w:r>
        <w:fldChar w:fldCharType="end"/>
      </w:r>
      <w:r>
        <w:rPr>
          <w:b/>
          <w:i w:val="0"/>
          <w:color w:val="000000" w:themeColor="text1"/>
          <w:sz w:val="24"/>
        </w:rPr>
        <w:t>.</w:t>
      </w:r>
      <w:r>
        <w:rPr>
          <w:color w:val="000000" w:themeColor="text1"/>
          <w:sz w:val="24"/>
        </w:rPr>
        <w:t xml:space="preserve"> </w:t>
      </w:r>
    </w:p>
    <w:p w14:paraId="61F32193" w14:textId="77777777" w:rsidR="001D72FA" w:rsidRDefault="001D72FA" w:rsidP="001D72FA">
      <w:pPr>
        <w:pStyle w:val="Descripcin"/>
        <w:keepNext/>
        <w:rPr>
          <w:color w:val="000000" w:themeColor="text1"/>
          <w:sz w:val="24"/>
        </w:rPr>
      </w:pPr>
      <w:r>
        <w:rPr>
          <w:color w:val="000000" w:themeColor="text1"/>
          <w:sz w:val="24"/>
        </w:rPr>
        <w:t>Análisis de la Varianza (ANOVA) del conocimiento de los trabajadores antes – después del Mercado Municipal.</w:t>
      </w:r>
      <w:bookmarkEnd w:id="29"/>
    </w:p>
    <w:tbl>
      <w:tblPr>
        <w:tblW w:w="8892" w:type="dxa"/>
        <w:tblInd w:w="-15" w:type="dxa"/>
        <w:tblBorders>
          <w:top w:val="single" w:sz="4" w:space="0" w:color="auto"/>
          <w:bottom w:val="single" w:sz="4" w:space="0" w:color="auto"/>
        </w:tblBorders>
        <w:tblCellMar>
          <w:left w:w="93" w:type="dxa"/>
          <w:right w:w="93" w:type="dxa"/>
        </w:tblCellMar>
        <w:tblLook w:val="04A0" w:firstRow="1" w:lastRow="0" w:firstColumn="1" w:lastColumn="0" w:noHBand="0" w:noVBand="1"/>
      </w:tblPr>
      <w:tblGrid>
        <w:gridCol w:w="468"/>
        <w:gridCol w:w="939"/>
        <w:gridCol w:w="779"/>
        <w:gridCol w:w="1039"/>
        <w:gridCol w:w="885"/>
        <w:gridCol w:w="1001"/>
        <w:gridCol w:w="865"/>
        <w:gridCol w:w="806"/>
        <w:gridCol w:w="1039"/>
        <w:gridCol w:w="1071"/>
      </w:tblGrid>
      <w:tr w:rsidR="001D72FA" w14:paraId="47555263" w14:textId="77777777" w:rsidTr="001D72FA">
        <w:trPr>
          <w:trHeight w:val="273"/>
        </w:trPr>
        <w:tc>
          <w:tcPr>
            <w:tcW w:w="0" w:type="auto"/>
            <w:gridSpan w:val="2"/>
            <w:tcBorders>
              <w:top w:val="single" w:sz="4" w:space="0" w:color="auto"/>
              <w:left w:val="nil"/>
              <w:bottom w:val="single" w:sz="4" w:space="0" w:color="auto"/>
              <w:right w:val="nil"/>
            </w:tcBorders>
            <w:shd w:val="clear" w:color="auto" w:fill="FFFFFF"/>
            <w:vAlign w:val="bottom"/>
          </w:tcPr>
          <w:p w14:paraId="475BFEFC" w14:textId="77777777" w:rsidR="001D72FA" w:rsidRDefault="001D72FA">
            <w:pPr>
              <w:autoSpaceDE w:val="0"/>
              <w:autoSpaceDN w:val="0"/>
              <w:adjustRightInd w:val="0"/>
              <w:spacing w:after="0" w:line="240" w:lineRule="auto"/>
              <w:rPr>
                <w:rFonts w:ascii="Arial Narrow" w:hAnsi="Arial Narrow" w:cs="Arial"/>
                <w:color w:val="000000"/>
                <w:sz w:val="20"/>
                <w:szCs w:val="20"/>
              </w:rPr>
            </w:pPr>
          </w:p>
        </w:tc>
        <w:tc>
          <w:tcPr>
            <w:tcW w:w="0" w:type="auto"/>
            <w:gridSpan w:val="5"/>
            <w:tcBorders>
              <w:top w:val="single" w:sz="4" w:space="0" w:color="auto"/>
              <w:left w:val="nil"/>
              <w:bottom w:val="single" w:sz="4" w:space="0" w:color="auto"/>
              <w:right w:val="nil"/>
            </w:tcBorders>
            <w:shd w:val="clear" w:color="auto" w:fill="FFFFFF"/>
            <w:vAlign w:val="center"/>
            <w:hideMark/>
          </w:tcPr>
          <w:p w14:paraId="2F51E9AE" w14:textId="77777777" w:rsidR="001D72FA" w:rsidRDefault="001D72FA">
            <w:pPr>
              <w:autoSpaceDE w:val="0"/>
              <w:autoSpaceDN w:val="0"/>
              <w:adjustRightInd w:val="0"/>
              <w:spacing w:after="0" w:line="240" w:lineRule="auto"/>
              <w:jc w:val="center"/>
              <w:rPr>
                <w:rFonts w:ascii="Arial Narrow" w:hAnsi="Arial Narrow" w:cs="Arial"/>
                <w:b/>
                <w:color w:val="000000"/>
                <w:sz w:val="20"/>
                <w:szCs w:val="20"/>
              </w:rPr>
            </w:pPr>
            <w:r>
              <w:rPr>
                <w:rFonts w:ascii="Arial Narrow" w:hAnsi="Arial Narrow" w:cs="Arial"/>
                <w:b/>
                <w:color w:val="000000"/>
                <w:sz w:val="20"/>
                <w:szCs w:val="20"/>
              </w:rPr>
              <w:t>Diferencias Relacionadas</w:t>
            </w:r>
          </w:p>
        </w:tc>
        <w:tc>
          <w:tcPr>
            <w:tcW w:w="0" w:type="auto"/>
            <w:tcBorders>
              <w:top w:val="single" w:sz="4" w:space="0" w:color="auto"/>
              <w:left w:val="nil"/>
              <w:bottom w:val="single" w:sz="4" w:space="0" w:color="auto"/>
              <w:right w:val="nil"/>
            </w:tcBorders>
            <w:shd w:val="clear" w:color="auto" w:fill="FFFFFF"/>
            <w:vAlign w:val="center"/>
            <w:hideMark/>
          </w:tcPr>
          <w:p w14:paraId="747E93C5" w14:textId="77777777" w:rsidR="001D72FA" w:rsidRDefault="001D72FA">
            <w:pPr>
              <w:autoSpaceDE w:val="0"/>
              <w:autoSpaceDN w:val="0"/>
              <w:adjustRightInd w:val="0"/>
              <w:spacing w:after="0" w:line="240" w:lineRule="auto"/>
              <w:jc w:val="center"/>
              <w:rPr>
                <w:rFonts w:ascii="Arial Narrow" w:hAnsi="Arial Narrow" w:cs="Arial"/>
                <w:b/>
                <w:color w:val="000000"/>
                <w:sz w:val="20"/>
                <w:szCs w:val="20"/>
              </w:rPr>
            </w:pPr>
            <w:r>
              <w:rPr>
                <w:rFonts w:ascii="Arial Narrow" w:hAnsi="Arial Narrow" w:cs="Arial"/>
                <w:b/>
                <w:color w:val="000000"/>
                <w:sz w:val="20"/>
                <w:szCs w:val="20"/>
              </w:rPr>
              <w:t>T</w:t>
            </w:r>
          </w:p>
        </w:tc>
        <w:tc>
          <w:tcPr>
            <w:tcW w:w="0" w:type="auto"/>
            <w:tcBorders>
              <w:top w:val="single" w:sz="4" w:space="0" w:color="auto"/>
              <w:left w:val="nil"/>
              <w:bottom w:val="single" w:sz="4" w:space="0" w:color="auto"/>
              <w:right w:val="nil"/>
            </w:tcBorders>
            <w:shd w:val="clear" w:color="auto" w:fill="FFFFFF"/>
            <w:vAlign w:val="center"/>
            <w:hideMark/>
          </w:tcPr>
          <w:p w14:paraId="36F7EB6C" w14:textId="77777777" w:rsidR="001D72FA" w:rsidRDefault="001D72FA">
            <w:pPr>
              <w:autoSpaceDE w:val="0"/>
              <w:autoSpaceDN w:val="0"/>
              <w:adjustRightInd w:val="0"/>
              <w:spacing w:after="0" w:line="240" w:lineRule="auto"/>
              <w:jc w:val="center"/>
              <w:rPr>
                <w:rFonts w:ascii="Arial Narrow" w:hAnsi="Arial Narrow" w:cs="Arial"/>
                <w:b/>
                <w:color w:val="000000"/>
                <w:sz w:val="20"/>
                <w:szCs w:val="20"/>
              </w:rPr>
            </w:pPr>
            <w:r>
              <w:rPr>
                <w:rFonts w:ascii="Arial Narrow" w:hAnsi="Arial Narrow" w:cs="Arial"/>
                <w:b/>
                <w:color w:val="000000"/>
                <w:sz w:val="20"/>
                <w:szCs w:val="20"/>
              </w:rPr>
              <w:t>Gl</w:t>
            </w:r>
          </w:p>
        </w:tc>
        <w:tc>
          <w:tcPr>
            <w:tcW w:w="0" w:type="auto"/>
            <w:tcBorders>
              <w:top w:val="single" w:sz="4" w:space="0" w:color="auto"/>
              <w:left w:val="nil"/>
              <w:bottom w:val="single" w:sz="4" w:space="0" w:color="auto"/>
              <w:right w:val="nil"/>
            </w:tcBorders>
            <w:shd w:val="clear" w:color="auto" w:fill="FFFFFF"/>
            <w:vAlign w:val="center"/>
            <w:hideMark/>
          </w:tcPr>
          <w:p w14:paraId="600F55A4" w14:textId="77777777" w:rsidR="001D72FA" w:rsidRDefault="001D72FA">
            <w:pPr>
              <w:autoSpaceDE w:val="0"/>
              <w:autoSpaceDN w:val="0"/>
              <w:adjustRightInd w:val="0"/>
              <w:spacing w:after="0" w:line="240" w:lineRule="auto"/>
              <w:jc w:val="center"/>
              <w:rPr>
                <w:rFonts w:ascii="Arial Narrow" w:hAnsi="Arial Narrow" w:cs="Arial"/>
                <w:b/>
                <w:color w:val="000000"/>
                <w:sz w:val="20"/>
                <w:szCs w:val="20"/>
              </w:rPr>
            </w:pPr>
            <w:r>
              <w:rPr>
                <w:rFonts w:ascii="Arial Narrow" w:hAnsi="Arial Narrow" w:cs="Arial"/>
                <w:b/>
                <w:color w:val="000000"/>
                <w:sz w:val="20"/>
                <w:szCs w:val="20"/>
              </w:rPr>
              <w:t>Sig. (bilateral)</w:t>
            </w:r>
          </w:p>
        </w:tc>
      </w:tr>
      <w:tr w:rsidR="001D72FA" w14:paraId="1B21F46B" w14:textId="77777777" w:rsidTr="001D72FA">
        <w:trPr>
          <w:trHeight w:val="273"/>
        </w:trPr>
        <w:tc>
          <w:tcPr>
            <w:tcW w:w="0" w:type="auto"/>
            <w:gridSpan w:val="2"/>
            <w:tcBorders>
              <w:top w:val="single" w:sz="4" w:space="0" w:color="auto"/>
              <w:left w:val="nil"/>
              <w:bottom w:val="nil"/>
              <w:right w:val="nil"/>
            </w:tcBorders>
            <w:shd w:val="clear" w:color="auto" w:fill="FFFFFF"/>
            <w:vAlign w:val="center"/>
          </w:tcPr>
          <w:p w14:paraId="2F4689B1"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p>
        </w:tc>
        <w:tc>
          <w:tcPr>
            <w:tcW w:w="0" w:type="auto"/>
            <w:tcBorders>
              <w:top w:val="single" w:sz="4" w:space="0" w:color="auto"/>
              <w:left w:val="nil"/>
              <w:bottom w:val="nil"/>
              <w:right w:val="nil"/>
            </w:tcBorders>
            <w:shd w:val="clear" w:color="auto" w:fill="FFFFFF"/>
            <w:vAlign w:val="center"/>
            <w:hideMark/>
          </w:tcPr>
          <w:p w14:paraId="401D0A17"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Media</w:t>
            </w:r>
          </w:p>
        </w:tc>
        <w:tc>
          <w:tcPr>
            <w:tcW w:w="0" w:type="auto"/>
            <w:tcBorders>
              <w:top w:val="single" w:sz="4" w:space="0" w:color="auto"/>
              <w:left w:val="nil"/>
              <w:bottom w:val="nil"/>
              <w:right w:val="nil"/>
            </w:tcBorders>
            <w:shd w:val="clear" w:color="auto" w:fill="FFFFFF"/>
            <w:vAlign w:val="center"/>
            <w:hideMark/>
          </w:tcPr>
          <w:p w14:paraId="3518F670"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Desviación típ.</w:t>
            </w:r>
          </w:p>
        </w:tc>
        <w:tc>
          <w:tcPr>
            <w:tcW w:w="0" w:type="auto"/>
            <w:tcBorders>
              <w:top w:val="single" w:sz="4" w:space="0" w:color="auto"/>
              <w:left w:val="nil"/>
              <w:bottom w:val="nil"/>
              <w:right w:val="nil"/>
            </w:tcBorders>
            <w:shd w:val="clear" w:color="auto" w:fill="FFFFFF"/>
            <w:vAlign w:val="center"/>
            <w:hideMark/>
          </w:tcPr>
          <w:p w14:paraId="19B2F79D"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Error típ. de la media</w:t>
            </w:r>
          </w:p>
        </w:tc>
        <w:tc>
          <w:tcPr>
            <w:tcW w:w="0" w:type="auto"/>
            <w:gridSpan w:val="2"/>
            <w:tcBorders>
              <w:top w:val="single" w:sz="4" w:space="0" w:color="auto"/>
              <w:left w:val="nil"/>
              <w:bottom w:val="nil"/>
              <w:right w:val="nil"/>
            </w:tcBorders>
            <w:shd w:val="clear" w:color="auto" w:fill="FFFFFF"/>
            <w:vAlign w:val="center"/>
            <w:hideMark/>
          </w:tcPr>
          <w:p w14:paraId="01D1FC1C"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95% Intervalo de confianza para la diferencia</w:t>
            </w:r>
          </w:p>
        </w:tc>
        <w:tc>
          <w:tcPr>
            <w:tcW w:w="0" w:type="auto"/>
            <w:tcBorders>
              <w:top w:val="single" w:sz="4" w:space="0" w:color="auto"/>
              <w:left w:val="nil"/>
              <w:bottom w:val="nil"/>
              <w:right w:val="nil"/>
            </w:tcBorders>
            <w:shd w:val="clear" w:color="auto" w:fill="FFFFFF"/>
            <w:vAlign w:val="center"/>
            <w:hideMark/>
          </w:tcPr>
          <w:p w14:paraId="6FC168E1"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Media</w:t>
            </w:r>
          </w:p>
        </w:tc>
        <w:tc>
          <w:tcPr>
            <w:tcW w:w="0" w:type="auto"/>
            <w:tcBorders>
              <w:top w:val="single" w:sz="4" w:space="0" w:color="auto"/>
              <w:left w:val="nil"/>
              <w:bottom w:val="nil"/>
              <w:right w:val="nil"/>
            </w:tcBorders>
            <w:shd w:val="clear" w:color="auto" w:fill="FFFFFF"/>
            <w:vAlign w:val="center"/>
            <w:hideMark/>
          </w:tcPr>
          <w:p w14:paraId="69E16E1C"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Desviación típ.</w:t>
            </w:r>
          </w:p>
        </w:tc>
        <w:tc>
          <w:tcPr>
            <w:tcW w:w="0" w:type="auto"/>
            <w:tcBorders>
              <w:top w:val="single" w:sz="4" w:space="0" w:color="auto"/>
              <w:left w:val="nil"/>
              <w:bottom w:val="nil"/>
              <w:right w:val="nil"/>
            </w:tcBorders>
            <w:shd w:val="clear" w:color="auto" w:fill="FFFFFF"/>
            <w:vAlign w:val="center"/>
            <w:hideMark/>
          </w:tcPr>
          <w:p w14:paraId="084A0802"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Error típ. de la media</w:t>
            </w:r>
          </w:p>
        </w:tc>
      </w:tr>
      <w:tr w:rsidR="001D72FA" w14:paraId="32D17A34" w14:textId="77777777" w:rsidTr="001D72FA">
        <w:trPr>
          <w:trHeight w:val="273"/>
        </w:trPr>
        <w:tc>
          <w:tcPr>
            <w:tcW w:w="0" w:type="auto"/>
            <w:gridSpan w:val="2"/>
            <w:tcBorders>
              <w:top w:val="nil"/>
              <w:left w:val="nil"/>
              <w:bottom w:val="nil"/>
              <w:right w:val="nil"/>
            </w:tcBorders>
            <w:shd w:val="clear" w:color="auto" w:fill="FFFFFF"/>
            <w:vAlign w:val="center"/>
          </w:tcPr>
          <w:p w14:paraId="00AA6F7D"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p>
        </w:tc>
        <w:tc>
          <w:tcPr>
            <w:tcW w:w="0" w:type="auto"/>
            <w:tcBorders>
              <w:top w:val="nil"/>
              <w:left w:val="nil"/>
              <w:bottom w:val="nil"/>
              <w:right w:val="nil"/>
            </w:tcBorders>
            <w:shd w:val="clear" w:color="auto" w:fill="FFFFFF"/>
            <w:vAlign w:val="center"/>
            <w:hideMark/>
          </w:tcPr>
          <w:p w14:paraId="2583ADE2"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Inferior</w:t>
            </w:r>
          </w:p>
        </w:tc>
        <w:tc>
          <w:tcPr>
            <w:tcW w:w="0" w:type="auto"/>
            <w:tcBorders>
              <w:top w:val="nil"/>
              <w:left w:val="nil"/>
              <w:bottom w:val="nil"/>
              <w:right w:val="nil"/>
            </w:tcBorders>
            <w:shd w:val="clear" w:color="auto" w:fill="FFFFFF"/>
            <w:vAlign w:val="center"/>
            <w:hideMark/>
          </w:tcPr>
          <w:p w14:paraId="47B275AB"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Superior</w:t>
            </w:r>
          </w:p>
        </w:tc>
        <w:tc>
          <w:tcPr>
            <w:tcW w:w="0" w:type="auto"/>
            <w:tcBorders>
              <w:top w:val="nil"/>
              <w:left w:val="nil"/>
              <w:bottom w:val="nil"/>
              <w:right w:val="nil"/>
            </w:tcBorders>
            <w:shd w:val="clear" w:color="auto" w:fill="FFFFFF"/>
            <w:vAlign w:val="center"/>
            <w:hideMark/>
          </w:tcPr>
          <w:p w14:paraId="2458F9CD"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Inferior</w:t>
            </w:r>
          </w:p>
        </w:tc>
        <w:tc>
          <w:tcPr>
            <w:tcW w:w="0" w:type="auto"/>
            <w:tcBorders>
              <w:top w:val="nil"/>
              <w:left w:val="nil"/>
              <w:bottom w:val="nil"/>
              <w:right w:val="nil"/>
            </w:tcBorders>
            <w:shd w:val="clear" w:color="auto" w:fill="FFFFFF"/>
            <w:vAlign w:val="center"/>
            <w:hideMark/>
          </w:tcPr>
          <w:p w14:paraId="0473F303"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Superior</w:t>
            </w:r>
          </w:p>
        </w:tc>
        <w:tc>
          <w:tcPr>
            <w:tcW w:w="0" w:type="auto"/>
            <w:tcBorders>
              <w:top w:val="nil"/>
              <w:left w:val="nil"/>
              <w:bottom w:val="nil"/>
              <w:right w:val="nil"/>
            </w:tcBorders>
            <w:shd w:val="clear" w:color="auto" w:fill="FFFFFF"/>
            <w:vAlign w:val="center"/>
            <w:hideMark/>
          </w:tcPr>
          <w:p w14:paraId="6F3E5CC7"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Inferior</w:t>
            </w:r>
          </w:p>
        </w:tc>
        <w:tc>
          <w:tcPr>
            <w:tcW w:w="0" w:type="auto"/>
            <w:tcBorders>
              <w:top w:val="nil"/>
              <w:left w:val="nil"/>
              <w:bottom w:val="nil"/>
              <w:right w:val="nil"/>
            </w:tcBorders>
            <w:shd w:val="clear" w:color="auto" w:fill="FFFFFF"/>
            <w:vAlign w:val="center"/>
            <w:hideMark/>
          </w:tcPr>
          <w:p w14:paraId="467A4251"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Superior</w:t>
            </w:r>
          </w:p>
        </w:tc>
        <w:tc>
          <w:tcPr>
            <w:tcW w:w="0" w:type="auto"/>
            <w:tcBorders>
              <w:top w:val="nil"/>
              <w:left w:val="nil"/>
              <w:bottom w:val="nil"/>
              <w:right w:val="nil"/>
            </w:tcBorders>
            <w:shd w:val="clear" w:color="auto" w:fill="FFFFFF"/>
            <w:vAlign w:val="center"/>
            <w:hideMark/>
          </w:tcPr>
          <w:p w14:paraId="5B4EF95D"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Inferior</w:t>
            </w:r>
          </w:p>
        </w:tc>
        <w:tc>
          <w:tcPr>
            <w:tcW w:w="0" w:type="auto"/>
            <w:tcBorders>
              <w:top w:val="nil"/>
              <w:left w:val="nil"/>
              <w:bottom w:val="nil"/>
              <w:right w:val="nil"/>
            </w:tcBorders>
            <w:shd w:val="clear" w:color="auto" w:fill="FFFFFF"/>
            <w:vAlign w:val="center"/>
            <w:hideMark/>
          </w:tcPr>
          <w:p w14:paraId="7FC139C0"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Superior</w:t>
            </w:r>
          </w:p>
        </w:tc>
      </w:tr>
      <w:tr w:rsidR="001D72FA" w14:paraId="08662074" w14:textId="77777777" w:rsidTr="001D72FA">
        <w:trPr>
          <w:trHeight w:val="178"/>
        </w:trPr>
        <w:tc>
          <w:tcPr>
            <w:tcW w:w="0" w:type="auto"/>
            <w:tcBorders>
              <w:top w:val="nil"/>
              <w:left w:val="nil"/>
              <w:bottom w:val="single" w:sz="4" w:space="0" w:color="auto"/>
              <w:right w:val="nil"/>
            </w:tcBorders>
            <w:shd w:val="clear" w:color="auto" w:fill="FFFFFF"/>
            <w:vAlign w:val="center"/>
            <w:hideMark/>
          </w:tcPr>
          <w:p w14:paraId="2949F5AF"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Par 1</w:t>
            </w:r>
          </w:p>
        </w:tc>
        <w:tc>
          <w:tcPr>
            <w:tcW w:w="0" w:type="auto"/>
            <w:tcBorders>
              <w:top w:val="nil"/>
              <w:left w:val="nil"/>
              <w:bottom w:val="single" w:sz="4" w:space="0" w:color="auto"/>
              <w:right w:val="nil"/>
            </w:tcBorders>
            <w:shd w:val="clear" w:color="auto" w:fill="FFFFFF"/>
            <w:vAlign w:val="center"/>
            <w:hideMark/>
          </w:tcPr>
          <w:p w14:paraId="1562F76B"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Antes - Después</w:t>
            </w:r>
          </w:p>
        </w:tc>
        <w:tc>
          <w:tcPr>
            <w:tcW w:w="0" w:type="auto"/>
            <w:tcBorders>
              <w:top w:val="nil"/>
              <w:left w:val="nil"/>
              <w:bottom w:val="single" w:sz="4" w:space="0" w:color="auto"/>
              <w:right w:val="nil"/>
            </w:tcBorders>
            <w:shd w:val="clear" w:color="auto" w:fill="FFFFFF"/>
            <w:vAlign w:val="center"/>
            <w:hideMark/>
          </w:tcPr>
          <w:p w14:paraId="10BA8A3B"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1,65000</w:t>
            </w:r>
          </w:p>
        </w:tc>
        <w:tc>
          <w:tcPr>
            <w:tcW w:w="0" w:type="auto"/>
            <w:tcBorders>
              <w:top w:val="nil"/>
              <w:left w:val="nil"/>
              <w:bottom w:val="single" w:sz="4" w:space="0" w:color="auto"/>
              <w:right w:val="nil"/>
            </w:tcBorders>
            <w:shd w:val="clear" w:color="auto" w:fill="FFFFFF"/>
            <w:vAlign w:val="center"/>
            <w:hideMark/>
          </w:tcPr>
          <w:p w14:paraId="5F55C26A"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1,35503</w:t>
            </w:r>
          </w:p>
        </w:tc>
        <w:tc>
          <w:tcPr>
            <w:tcW w:w="0" w:type="auto"/>
            <w:tcBorders>
              <w:top w:val="nil"/>
              <w:left w:val="nil"/>
              <w:bottom w:val="single" w:sz="4" w:space="0" w:color="auto"/>
              <w:right w:val="nil"/>
            </w:tcBorders>
            <w:shd w:val="clear" w:color="auto" w:fill="FFFFFF"/>
            <w:vAlign w:val="center"/>
            <w:hideMark/>
          </w:tcPr>
          <w:p w14:paraId="78103332"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42850</w:t>
            </w:r>
          </w:p>
        </w:tc>
        <w:tc>
          <w:tcPr>
            <w:tcW w:w="0" w:type="auto"/>
            <w:tcBorders>
              <w:top w:val="nil"/>
              <w:left w:val="nil"/>
              <w:bottom w:val="single" w:sz="4" w:space="0" w:color="auto"/>
              <w:right w:val="nil"/>
            </w:tcBorders>
            <w:shd w:val="clear" w:color="auto" w:fill="FFFFFF"/>
            <w:vAlign w:val="center"/>
            <w:hideMark/>
          </w:tcPr>
          <w:p w14:paraId="20890B70"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2,61933</w:t>
            </w:r>
          </w:p>
        </w:tc>
        <w:tc>
          <w:tcPr>
            <w:tcW w:w="0" w:type="auto"/>
            <w:tcBorders>
              <w:top w:val="nil"/>
              <w:left w:val="nil"/>
              <w:bottom w:val="single" w:sz="4" w:space="0" w:color="auto"/>
              <w:right w:val="nil"/>
            </w:tcBorders>
            <w:shd w:val="clear" w:color="auto" w:fill="FFFFFF"/>
            <w:vAlign w:val="center"/>
            <w:hideMark/>
          </w:tcPr>
          <w:p w14:paraId="44888E58"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68067</w:t>
            </w:r>
          </w:p>
        </w:tc>
        <w:tc>
          <w:tcPr>
            <w:tcW w:w="0" w:type="auto"/>
            <w:tcBorders>
              <w:top w:val="nil"/>
              <w:left w:val="nil"/>
              <w:bottom w:val="single" w:sz="4" w:space="0" w:color="auto"/>
              <w:right w:val="nil"/>
            </w:tcBorders>
            <w:shd w:val="clear" w:color="auto" w:fill="FFFFFF"/>
            <w:vAlign w:val="center"/>
            <w:hideMark/>
          </w:tcPr>
          <w:p w14:paraId="45C9AAD2"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3,851</w:t>
            </w:r>
          </w:p>
        </w:tc>
        <w:tc>
          <w:tcPr>
            <w:tcW w:w="0" w:type="auto"/>
            <w:tcBorders>
              <w:top w:val="nil"/>
              <w:left w:val="nil"/>
              <w:bottom w:val="single" w:sz="4" w:space="0" w:color="auto"/>
              <w:right w:val="nil"/>
            </w:tcBorders>
            <w:shd w:val="clear" w:color="auto" w:fill="FFFFFF"/>
            <w:vAlign w:val="center"/>
            <w:hideMark/>
          </w:tcPr>
          <w:p w14:paraId="64AB26DC"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9</w:t>
            </w:r>
          </w:p>
        </w:tc>
        <w:tc>
          <w:tcPr>
            <w:tcW w:w="0" w:type="auto"/>
            <w:tcBorders>
              <w:top w:val="nil"/>
              <w:left w:val="nil"/>
              <w:bottom w:val="single" w:sz="4" w:space="0" w:color="auto"/>
              <w:right w:val="nil"/>
            </w:tcBorders>
            <w:shd w:val="clear" w:color="auto" w:fill="FFFFFF"/>
            <w:vAlign w:val="center"/>
            <w:hideMark/>
          </w:tcPr>
          <w:p w14:paraId="14FEA755"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004</w:t>
            </w:r>
          </w:p>
        </w:tc>
      </w:tr>
    </w:tbl>
    <w:p w14:paraId="50F7BAF0" w14:textId="77777777" w:rsidR="001D72FA" w:rsidRDefault="001D72FA" w:rsidP="001D72FA">
      <w:pPr>
        <w:rPr>
          <w:rFonts w:ascii="Arial" w:hAnsi="Arial"/>
          <w:color w:val="000000" w:themeColor="text1"/>
          <w:sz w:val="24"/>
        </w:rPr>
      </w:pPr>
      <w:r>
        <w:rPr>
          <w:b/>
        </w:rPr>
        <w:t>Fuente:</w:t>
      </w:r>
      <w:r>
        <w:t xml:space="preserve"> Autora</w:t>
      </w:r>
    </w:p>
    <w:p w14:paraId="4ACB56E3" w14:textId="77777777" w:rsidR="001D72FA" w:rsidRPr="00754429" w:rsidRDefault="001D72FA" w:rsidP="00754429">
      <w:pPr>
        <w:spacing w:line="360" w:lineRule="auto"/>
        <w:jc w:val="both"/>
        <w:rPr>
          <w:rFonts w:ascii="Arial" w:hAnsi="Arial" w:cs="Arial"/>
          <w:sz w:val="24"/>
          <w:szCs w:val="28"/>
        </w:rPr>
      </w:pPr>
      <w:r w:rsidRPr="00754429">
        <w:rPr>
          <w:rFonts w:ascii="Arial" w:hAnsi="Arial" w:cs="Arial"/>
          <w:sz w:val="24"/>
          <w:szCs w:val="28"/>
        </w:rPr>
        <w:t xml:space="preserve">Se ilustra en la tabla el análisis de la varianza de las pruebas de T- students realizadas a las medias del conocimiento. Dado que el p valor de prueba es menor que 0,05 se evidencia que hay diferencia significativa en las medias del conocimiento adquiridos en los expendedores del mercado municipal de Bahía de Caráquez antes-después de la capacitación efectuada. De acuerdo con </w:t>
      </w:r>
      <w:r w:rsidRPr="00754429">
        <w:rPr>
          <w:rFonts w:ascii="Arial" w:hAnsi="Arial" w:cs="Arial"/>
          <w:noProof/>
          <w:sz w:val="24"/>
          <w:szCs w:val="24"/>
        </w:rPr>
        <w:t>Vega (2017) en un estudio sobre nivel de conocimiento y aplicación de medidas de bioseguridad muestra que existe significancia en el nivel de conocimiento sobre normas bioseguridad y saneamiento ambiental.</w:t>
      </w:r>
    </w:p>
    <w:p w14:paraId="75D12A2A" w14:textId="77777777" w:rsidR="001D72FA" w:rsidRDefault="001D72FA" w:rsidP="001D72FA">
      <w:pPr>
        <w:pStyle w:val="Descripcin"/>
        <w:keepNext/>
        <w:rPr>
          <w:color w:val="000000" w:themeColor="text1"/>
          <w:sz w:val="24"/>
          <w:szCs w:val="24"/>
        </w:rPr>
      </w:pPr>
      <w:bookmarkStart w:id="30" w:name="_Toc78285508"/>
      <w:r>
        <w:rPr>
          <w:b/>
          <w:color w:val="000000" w:themeColor="text1"/>
          <w:sz w:val="24"/>
          <w:szCs w:val="24"/>
        </w:rPr>
        <w:t xml:space="preserve">Tabla </w:t>
      </w:r>
      <w:r>
        <w:fldChar w:fldCharType="begin"/>
      </w:r>
      <w:r>
        <w:rPr>
          <w:b/>
          <w:color w:val="000000" w:themeColor="text1"/>
          <w:sz w:val="24"/>
          <w:szCs w:val="24"/>
        </w:rPr>
        <w:instrText xml:space="preserve"> STYLEREF 1 \s </w:instrText>
      </w:r>
      <w:r>
        <w:fldChar w:fldCharType="separate"/>
      </w:r>
      <w:r>
        <w:rPr>
          <w:b/>
          <w:noProof/>
          <w:color w:val="000000" w:themeColor="text1"/>
          <w:sz w:val="24"/>
          <w:szCs w:val="24"/>
        </w:rPr>
        <w:t>4</w:t>
      </w:r>
      <w:r>
        <w:fldChar w:fldCharType="end"/>
      </w:r>
      <w:r>
        <w:rPr>
          <w:b/>
          <w:color w:val="000000" w:themeColor="text1"/>
          <w:sz w:val="24"/>
          <w:szCs w:val="24"/>
        </w:rPr>
        <w:t>.</w:t>
      </w:r>
      <w:r>
        <w:fldChar w:fldCharType="begin"/>
      </w:r>
      <w:r>
        <w:rPr>
          <w:b/>
          <w:color w:val="000000" w:themeColor="text1"/>
          <w:sz w:val="24"/>
          <w:szCs w:val="24"/>
        </w:rPr>
        <w:instrText xml:space="preserve"> SEQ Tabla \* ARABIC \s 1 </w:instrText>
      </w:r>
      <w:r>
        <w:fldChar w:fldCharType="separate"/>
      </w:r>
      <w:r>
        <w:rPr>
          <w:b/>
          <w:noProof/>
          <w:color w:val="000000" w:themeColor="text1"/>
          <w:sz w:val="24"/>
          <w:szCs w:val="24"/>
        </w:rPr>
        <w:t>6</w:t>
      </w:r>
      <w:r>
        <w:fldChar w:fldCharType="end"/>
      </w:r>
      <w:r>
        <w:rPr>
          <w:b/>
          <w:color w:val="000000" w:themeColor="text1"/>
          <w:sz w:val="24"/>
          <w:szCs w:val="24"/>
        </w:rPr>
        <w:t>.</w:t>
      </w:r>
      <w:r>
        <w:rPr>
          <w:color w:val="000000" w:themeColor="text1"/>
          <w:sz w:val="24"/>
          <w:szCs w:val="24"/>
        </w:rPr>
        <w:t xml:space="preserve"> </w:t>
      </w:r>
    </w:p>
    <w:p w14:paraId="744B7614" w14:textId="77777777" w:rsidR="001D72FA" w:rsidRDefault="001D72FA" w:rsidP="001D72FA">
      <w:pPr>
        <w:pStyle w:val="Descripcin"/>
        <w:keepNext/>
        <w:rPr>
          <w:color w:val="000000" w:themeColor="text1"/>
          <w:sz w:val="24"/>
          <w:szCs w:val="24"/>
        </w:rPr>
      </w:pPr>
      <w:r>
        <w:rPr>
          <w:color w:val="000000" w:themeColor="text1"/>
          <w:sz w:val="24"/>
          <w:szCs w:val="24"/>
        </w:rPr>
        <w:t>Análisis de la Varianza (ANOVA) del comportamiento de los trabajadores antes- después del Mercado Municipal.</w:t>
      </w:r>
      <w:bookmarkEnd w:id="30"/>
    </w:p>
    <w:tbl>
      <w:tblPr>
        <w:tblW w:w="8895" w:type="dxa"/>
        <w:tblInd w:w="-15" w:type="dxa"/>
        <w:tblBorders>
          <w:top w:val="single" w:sz="4" w:space="0" w:color="auto"/>
          <w:bottom w:val="single" w:sz="4" w:space="0" w:color="auto"/>
        </w:tblBorders>
        <w:tblLayout w:type="fixed"/>
        <w:tblCellMar>
          <w:left w:w="93" w:type="dxa"/>
          <w:right w:w="93" w:type="dxa"/>
        </w:tblCellMar>
        <w:tblLook w:val="04A0" w:firstRow="1" w:lastRow="0" w:firstColumn="1" w:lastColumn="0" w:noHBand="0" w:noVBand="1"/>
      </w:tblPr>
      <w:tblGrid>
        <w:gridCol w:w="520"/>
        <w:gridCol w:w="1114"/>
        <w:gridCol w:w="1361"/>
        <w:gridCol w:w="839"/>
        <w:gridCol w:w="915"/>
        <w:gridCol w:w="780"/>
        <w:gridCol w:w="785"/>
        <w:gridCol w:w="780"/>
        <w:gridCol w:w="932"/>
        <w:gridCol w:w="869"/>
      </w:tblGrid>
      <w:tr w:rsidR="001D72FA" w14:paraId="3E2EA2DB" w14:textId="77777777" w:rsidTr="001D72FA">
        <w:trPr>
          <w:trHeight w:val="257"/>
        </w:trPr>
        <w:tc>
          <w:tcPr>
            <w:tcW w:w="1631" w:type="dxa"/>
            <w:gridSpan w:val="2"/>
            <w:tcBorders>
              <w:top w:val="single" w:sz="4" w:space="0" w:color="auto"/>
              <w:left w:val="nil"/>
              <w:bottom w:val="single" w:sz="4" w:space="0" w:color="auto"/>
              <w:right w:val="nil"/>
            </w:tcBorders>
            <w:shd w:val="clear" w:color="auto" w:fill="FFFFFF"/>
            <w:vAlign w:val="bottom"/>
          </w:tcPr>
          <w:p w14:paraId="0DFDE1F8" w14:textId="77777777" w:rsidR="001D72FA" w:rsidRDefault="001D72FA">
            <w:pPr>
              <w:autoSpaceDE w:val="0"/>
              <w:autoSpaceDN w:val="0"/>
              <w:adjustRightInd w:val="0"/>
              <w:spacing w:after="0" w:line="240" w:lineRule="auto"/>
              <w:rPr>
                <w:rFonts w:ascii="Arial Narrow" w:hAnsi="Arial Narrow" w:cs="Arial"/>
                <w:color w:val="000000"/>
                <w:sz w:val="20"/>
                <w:szCs w:val="20"/>
              </w:rPr>
            </w:pPr>
          </w:p>
        </w:tc>
        <w:tc>
          <w:tcPr>
            <w:tcW w:w="4679" w:type="dxa"/>
            <w:gridSpan w:val="5"/>
            <w:tcBorders>
              <w:top w:val="single" w:sz="4" w:space="0" w:color="auto"/>
              <w:left w:val="nil"/>
              <w:bottom w:val="single" w:sz="4" w:space="0" w:color="auto"/>
              <w:right w:val="nil"/>
            </w:tcBorders>
            <w:shd w:val="clear" w:color="auto" w:fill="FFFFFF"/>
            <w:vAlign w:val="center"/>
            <w:hideMark/>
          </w:tcPr>
          <w:p w14:paraId="5FD28E94" w14:textId="77777777" w:rsidR="001D72FA" w:rsidRDefault="001D72FA">
            <w:pPr>
              <w:autoSpaceDE w:val="0"/>
              <w:autoSpaceDN w:val="0"/>
              <w:adjustRightInd w:val="0"/>
              <w:spacing w:after="0" w:line="240" w:lineRule="auto"/>
              <w:jc w:val="center"/>
              <w:rPr>
                <w:rFonts w:ascii="Arial Narrow" w:hAnsi="Arial Narrow" w:cs="Arial"/>
                <w:b/>
                <w:color w:val="000000"/>
                <w:sz w:val="20"/>
                <w:szCs w:val="20"/>
              </w:rPr>
            </w:pPr>
            <w:r>
              <w:rPr>
                <w:rFonts w:ascii="Arial Narrow" w:hAnsi="Arial Narrow" w:cs="Arial"/>
                <w:b/>
                <w:color w:val="000000"/>
                <w:sz w:val="20"/>
                <w:szCs w:val="20"/>
              </w:rPr>
              <w:t>Diferencias Relacionadas</w:t>
            </w:r>
          </w:p>
        </w:tc>
        <w:tc>
          <w:tcPr>
            <w:tcW w:w="780" w:type="dxa"/>
            <w:tcBorders>
              <w:top w:val="single" w:sz="4" w:space="0" w:color="auto"/>
              <w:left w:val="nil"/>
              <w:bottom w:val="single" w:sz="4" w:space="0" w:color="auto"/>
              <w:right w:val="nil"/>
            </w:tcBorders>
            <w:shd w:val="clear" w:color="auto" w:fill="FFFFFF"/>
            <w:vAlign w:val="center"/>
            <w:hideMark/>
          </w:tcPr>
          <w:p w14:paraId="2BB4B968" w14:textId="77777777" w:rsidR="001D72FA" w:rsidRDefault="001D72FA">
            <w:pPr>
              <w:autoSpaceDE w:val="0"/>
              <w:autoSpaceDN w:val="0"/>
              <w:adjustRightInd w:val="0"/>
              <w:spacing w:after="0" w:line="240" w:lineRule="auto"/>
              <w:jc w:val="center"/>
              <w:rPr>
                <w:rFonts w:ascii="Arial Narrow" w:hAnsi="Arial Narrow" w:cs="Arial"/>
                <w:b/>
                <w:color w:val="000000"/>
                <w:sz w:val="20"/>
                <w:szCs w:val="20"/>
              </w:rPr>
            </w:pPr>
            <w:r>
              <w:rPr>
                <w:rFonts w:ascii="Arial Narrow" w:hAnsi="Arial Narrow" w:cs="Arial"/>
                <w:b/>
                <w:color w:val="000000"/>
                <w:sz w:val="20"/>
                <w:szCs w:val="20"/>
              </w:rPr>
              <w:t>T</w:t>
            </w:r>
          </w:p>
        </w:tc>
        <w:tc>
          <w:tcPr>
            <w:tcW w:w="932" w:type="dxa"/>
            <w:tcBorders>
              <w:top w:val="single" w:sz="4" w:space="0" w:color="auto"/>
              <w:left w:val="nil"/>
              <w:bottom w:val="single" w:sz="4" w:space="0" w:color="auto"/>
              <w:right w:val="nil"/>
            </w:tcBorders>
            <w:shd w:val="clear" w:color="auto" w:fill="FFFFFF"/>
            <w:vAlign w:val="center"/>
            <w:hideMark/>
          </w:tcPr>
          <w:p w14:paraId="4F398500" w14:textId="77777777" w:rsidR="001D72FA" w:rsidRDefault="001D72FA">
            <w:pPr>
              <w:autoSpaceDE w:val="0"/>
              <w:autoSpaceDN w:val="0"/>
              <w:adjustRightInd w:val="0"/>
              <w:spacing w:after="0" w:line="240" w:lineRule="auto"/>
              <w:jc w:val="center"/>
              <w:rPr>
                <w:rFonts w:ascii="Arial Narrow" w:hAnsi="Arial Narrow" w:cs="Arial"/>
                <w:b/>
                <w:color w:val="000000"/>
                <w:sz w:val="20"/>
                <w:szCs w:val="20"/>
              </w:rPr>
            </w:pPr>
            <w:r>
              <w:rPr>
                <w:rFonts w:ascii="Arial Narrow" w:hAnsi="Arial Narrow" w:cs="Arial"/>
                <w:b/>
                <w:color w:val="000000"/>
                <w:sz w:val="20"/>
                <w:szCs w:val="20"/>
              </w:rPr>
              <w:t>Gl</w:t>
            </w:r>
          </w:p>
        </w:tc>
        <w:tc>
          <w:tcPr>
            <w:tcW w:w="869" w:type="dxa"/>
            <w:tcBorders>
              <w:top w:val="single" w:sz="4" w:space="0" w:color="auto"/>
              <w:left w:val="nil"/>
              <w:bottom w:val="single" w:sz="4" w:space="0" w:color="auto"/>
              <w:right w:val="nil"/>
            </w:tcBorders>
            <w:shd w:val="clear" w:color="auto" w:fill="FFFFFF"/>
            <w:vAlign w:val="center"/>
            <w:hideMark/>
          </w:tcPr>
          <w:p w14:paraId="6CB03002" w14:textId="77777777" w:rsidR="001D72FA" w:rsidRDefault="001D72FA">
            <w:pPr>
              <w:autoSpaceDE w:val="0"/>
              <w:autoSpaceDN w:val="0"/>
              <w:adjustRightInd w:val="0"/>
              <w:spacing w:after="0" w:line="240" w:lineRule="auto"/>
              <w:jc w:val="center"/>
              <w:rPr>
                <w:rFonts w:ascii="Arial Narrow" w:hAnsi="Arial Narrow" w:cs="Arial"/>
                <w:b/>
                <w:color w:val="000000"/>
                <w:sz w:val="20"/>
                <w:szCs w:val="20"/>
              </w:rPr>
            </w:pPr>
            <w:r>
              <w:rPr>
                <w:rFonts w:ascii="Arial Narrow" w:hAnsi="Arial Narrow" w:cs="Arial"/>
                <w:b/>
                <w:color w:val="000000"/>
                <w:sz w:val="20"/>
                <w:szCs w:val="20"/>
              </w:rPr>
              <w:t>Sig. (bilateral)</w:t>
            </w:r>
          </w:p>
        </w:tc>
      </w:tr>
      <w:tr w:rsidR="001D72FA" w14:paraId="736DB51C" w14:textId="77777777" w:rsidTr="001D72FA">
        <w:trPr>
          <w:trHeight w:val="257"/>
        </w:trPr>
        <w:tc>
          <w:tcPr>
            <w:tcW w:w="1631" w:type="dxa"/>
            <w:gridSpan w:val="2"/>
            <w:tcBorders>
              <w:top w:val="single" w:sz="4" w:space="0" w:color="auto"/>
              <w:left w:val="nil"/>
              <w:bottom w:val="nil"/>
              <w:right w:val="nil"/>
            </w:tcBorders>
            <w:shd w:val="clear" w:color="auto" w:fill="FFFFFF"/>
            <w:vAlign w:val="center"/>
          </w:tcPr>
          <w:p w14:paraId="1E2A7537"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p>
        </w:tc>
        <w:tc>
          <w:tcPr>
            <w:tcW w:w="1360" w:type="dxa"/>
            <w:tcBorders>
              <w:top w:val="single" w:sz="4" w:space="0" w:color="auto"/>
              <w:left w:val="nil"/>
              <w:bottom w:val="nil"/>
              <w:right w:val="nil"/>
            </w:tcBorders>
            <w:shd w:val="clear" w:color="auto" w:fill="FFFFFF"/>
            <w:vAlign w:val="center"/>
            <w:hideMark/>
          </w:tcPr>
          <w:p w14:paraId="5DDF87A9"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Media</w:t>
            </w:r>
          </w:p>
        </w:tc>
        <w:tc>
          <w:tcPr>
            <w:tcW w:w="839" w:type="dxa"/>
            <w:tcBorders>
              <w:top w:val="single" w:sz="4" w:space="0" w:color="auto"/>
              <w:left w:val="nil"/>
              <w:bottom w:val="nil"/>
              <w:right w:val="nil"/>
            </w:tcBorders>
            <w:shd w:val="clear" w:color="auto" w:fill="FFFFFF"/>
            <w:vAlign w:val="center"/>
            <w:hideMark/>
          </w:tcPr>
          <w:p w14:paraId="63643F93"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Desviación típ.</w:t>
            </w:r>
          </w:p>
        </w:tc>
        <w:tc>
          <w:tcPr>
            <w:tcW w:w="915" w:type="dxa"/>
            <w:tcBorders>
              <w:top w:val="single" w:sz="4" w:space="0" w:color="auto"/>
              <w:left w:val="nil"/>
              <w:bottom w:val="nil"/>
              <w:right w:val="nil"/>
            </w:tcBorders>
            <w:shd w:val="clear" w:color="auto" w:fill="FFFFFF"/>
            <w:vAlign w:val="center"/>
            <w:hideMark/>
          </w:tcPr>
          <w:p w14:paraId="17E7DACC"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Error típ. de la media</w:t>
            </w:r>
          </w:p>
        </w:tc>
        <w:tc>
          <w:tcPr>
            <w:tcW w:w="1565" w:type="dxa"/>
            <w:gridSpan w:val="2"/>
            <w:tcBorders>
              <w:top w:val="single" w:sz="4" w:space="0" w:color="auto"/>
              <w:left w:val="nil"/>
              <w:bottom w:val="nil"/>
              <w:right w:val="nil"/>
            </w:tcBorders>
            <w:shd w:val="clear" w:color="auto" w:fill="FFFFFF"/>
            <w:vAlign w:val="center"/>
            <w:hideMark/>
          </w:tcPr>
          <w:p w14:paraId="34C18945"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95% Intervalo de confianza para la diferencia</w:t>
            </w:r>
          </w:p>
        </w:tc>
        <w:tc>
          <w:tcPr>
            <w:tcW w:w="780" w:type="dxa"/>
            <w:tcBorders>
              <w:top w:val="single" w:sz="4" w:space="0" w:color="auto"/>
              <w:left w:val="nil"/>
              <w:bottom w:val="nil"/>
              <w:right w:val="nil"/>
            </w:tcBorders>
            <w:shd w:val="clear" w:color="auto" w:fill="FFFFFF"/>
            <w:vAlign w:val="center"/>
            <w:hideMark/>
          </w:tcPr>
          <w:p w14:paraId="7FBBE8A4"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Media</w:t>
            </w:r>
          </w:p>
        </w:tc>
        <w:tc>
          <w:tcPr>
            <w:tcW w:w="932" w:type="dxa"/>
            <w:tcBorders>
              <w:top w:val="single" w:sz="4" w:space="0" w:color="auto"/>
              <w:left w:val="nil"/>
              <w:bottom w:val="nil"/>
              <w:right w:val="nil"/>
            </w:tcBorders>
            <w:shd w:val="clear" w:color="auto" w:fill="FFFFFF"/>
            <w:vAlign w:val="center"/>
            <w:hideMark/>
          </w:tcPr>
          <w:p w14:paraId="66D8CDD7"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Desviación típ.</w:t>
            </w:r>
          </w:p>
        </w:tc>
        <w:tc>
          <w:tcPr>
            <w:tcW w:w="869" w:type="dxa"/>
            <w:tcBorders>
              <w:top w:val="single" w:sz="4" w:space="0" w:color="auto"/>
              <w:left w:val="nil"/>
              <w:bottom w:val="nil"/>
              <w:right w:val="nil"/>
            </w:tcBorders>
            <w:shd w:val="clear" w:color="auto" w:fill="FFFFFF"/>
            <w:vAlign w:val="center"/>
            <w:hideMark/>
          </w:tcPr>
          <w:p w14:paraId="265DB176"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Error típ. de la media</w:t>
            </w:r>
          </w:p>
        </w:tc>
      </w:tr>
      <w:tr w:rsidR="001D72FA" w14:paraId="0185AC1D" w14:textId="77777777" w:rsidTr="001D72FA">
        <w:trPr>
          <w:trHeight w:val="257"/>
        </w:trPr>
        <w:tc>
          <w:tcPr>
            <w:tcW w:w="1631" w:type="dxa"/>
            <w:gridSpan w:val="2"/>
            <w:tcBorders>
              <w:top w:val="nil"/>
              <w:left w:val="nil"/>
              <w:bottom w:val="nil"/>
              <w:right w:val="nil"/>
            </w:tcBorders>
            <w:shd w:val="clear" w:color="auto" w:fill="FFFFFF"/>
            <w:vAlign w:val="center"/>
          </w:tcPr>
          <w:p w14:paraId="52C9EAAF"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p>
        </w:tc>
        <w:tc>
          <w:tcPr>
            <w:tcW w:w="1360" w:type="dxa"/>
            <w:tcBorders>
              <w:top w:val="nil"/>
              <w:left w:val="nil"/>
              <w:bottom w:val="nil"/>
              <w:right w:val="nil"/>
            </w:tcBorders>
            <w:shd w:val="clear" w:color="auto" w:fill="FFFFFF"/>
            <w:vAlign w:val="center"/>
            <w:hideMark/>
          </w:tcPr>
          <w:p w14:paraId="273D0AA0"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Inferior</w:t>
            </w:r>
          </w:p>
        </w:tc>
        <w:tc>
          <w:tcPr>
            <w:tcW w:w="839" w:type="dxa"/>
            <w:tcBorders>
              <w:top w:val="nil"/>
              <w:left w:val="nil"/>
              <w:bottom w:val="nil"/>
              <w:right w:val="nil"/>
            </w:tcBorders>
            <w:shd w:val="clear" w:color="auto" w:fill="FFFFFF"/>
            <w:vAlign w:val="center"/>
            <w:hideMark/>
          </w:tcPr>
          <w:p w14:paraId="6BCD67CD"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Superior</w:t>
            </w:r>
          </w:p>
        </w:tc>
        <w:tc>
          <w:tcPr>
            <w:tcW w:w="915" w:type="dxa"/>
            <w:tcBorders>
              <w:top w:val="nil"/>
              <w:left w:val="nil"/>
              <w:bottom w:val="nil"/>
              <w:right w:val="nil"/>
            </w:tcBorders>
            <w:shd w:val="clear" w:color="auto" w:fill="FFFFFF"/>
            <w:vAlign w:val="center"/>
            <w:hideMark/>
          </w:tcPr>
          <w:p w14:paraId="42140ED8"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Inferior</w:t>
            </w:r>
          </w:p>
        </w:tc>
        <w:tc>
          <w:tcPr>
            <w:tcW w:w="780" w:type="dxa"/>
            <w:tcBorders>
              <w:top w:val="nil"/>
              <w:left w:val="nil"/>
              <w:bottom w:val="nil"/>
              <w:right w:val="nil"/>
            </w:tcBorders>
            <w:shd w:val="clear" w:color="auto" w:fill="FFFFFF"/>
            <w:vAlign w:val="center"/>
            <w:hideMark/>
          </w:tcPr>
          <w:p w14:paraId="168A598D"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Superior</w:t>
            </w:r>
          </w:p>
        </w:tc>
        <w:tc>
          <w:tcPr>
            <w:tcW w:w="785" w:type="dxa"/>
            <w:tcBorders>
              <w:top w:val="nil"/>
              <w:left w:val="nil"/>
              <w:bottom w:val="nil"/>
              <w:right w:val="nil"/>
            </w:tcBorders>
            <w:shd w:val="clear" w:color="auto" w:fill="FFFFFF"/>
            <w:vAlign w:val="center"/>
            <w:hideMark/>
          </w:tcPr>
          <w:p w14:paraId="549A2AF9"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Inferior</w:t>
            </w:r>
          </w:p>
        </w:tc>
        <w:tc>
          <w:tcPr>
            <w:tcW w:w="780" w:type="dxa"/>
            <w:tcBorders>
              <w:top w:val="nil"/>
              <w:left w:val="nil"/>
              <w:bottom w:val="nil"/>
              <w:right w:val="nil"/>
            </w:tcBorders>
            <w:shd w:val="clear" w:color="auto" w:fill="FFFFFF"/>
            <w:vAlign w:val="center"/>
            <w:hideMark/>
          </w:tcPr>
          <w:p w14:paraId="396F6780"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Superior</w:t>
            </w:r>
          </w:p>
        </w:tc>
        <w:tc>
          <w:tcPr>
            <w:tcW w:w="932" w:type="dxa"/>
            <w:tcBorders>
              <w:top w:val="nil"/>
              <w:left w:val="nil"/>
              <w:bottom w:val="nil"/>
              <w:right w:val="nil"/>
            </w:tcBorders>
            <w:shd w:val="clear" w:color="auto" w:fill="FFFFFF"/>
            <w:vAlign w:val="center"/>
            <w:hideMark/>
          </w:tcPr>
          <w:p w14:paraId="01E27990"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Inferior</w:t>
            </w:r>
          </w:p>
        </w:tc>
        <w:tc>
          <w:tcPr>
            <w:tcW w:w="869" w:type="dxa"/>
            <w:tcBorders>
              <w:top w:val="nil"/>
              <w:left w:val="nil"/>
              <w:bottom w:val="nil"/>
              <w:right w:val="nil"/>
            </w:tcBorders>
            <w:shd w:val="clear" w:color="auto" w:fill="FFFFFF"/>
            <w:vAlign w:val="center"/>
            <w:hideMark/>
          </w:tcPr>
          <w:p w14:paraId="685E378B"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Superior</w:t>
            </w:r>
          </w:p>
        </w:tc>
      </w:tr>
      <w:tr w:rsidR="001D72FA" w14:paraId="23573B80" w14:textId="77777777" w:rsidTr="001D72FA">
        <w:trPr>
          <w:trHeight w:val="168"/>
        </w:trPr>
        <w:tc>
          <w:tcPr>
            <w:tcW w:w="519" w:type="dxa"/>
            <w:tcBorders>
              <w:top w:val="nil"/>
              <w:left w:val="nil"/>
              <w:bottom w:val="single" w:sz="4" w:space="0" w:color="auto"/>
              <w:right w:val="nil"/>
            </w:tcBorders>
            <w:shd w:val="clear" w:color="auto" w:fill="FFFFFF"/>
            <w:vAlign w:val="center"/>
            <w:hideMark/>
          </w:tcPr>
          <w:p w14:paraId="00288C23"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Par 1</w:t>
            </w:r>
          </w:p>
        </w:tc>
        <w:tc>
          <w:tcPr>
            <w:tcW w:w="1112" w:type="dxa"/>
            <w:tcBorders>
              <w:top w:val="nil"/>
              <w:left w:val="nil"/>
              <w:bottom w:val="single" w:sz="4" w:space="0" w:color="auto"/>
              <w:right w:val="nil"/>
            </w:tcBorders>
            <w:shd w:val="clear" w:color="auto" w:fill="FFFFFF"/>
            <w:vAlign w:val="center"/>
            <w:hideMark/>
          </w:tcPr>
          <w:p w14:paraId="2E94C5A7"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Antes – Después</w:t>
            </w:r>
          </w:p>
        </w:tc>
        <w:tc>
          <w:tcPr>
            <w:tcW w:w="1360" w:type="dxa"/>
            <w:tcBorders>
              <w:top w:val="nil"/>
              <w:left w:val="nil"/>
              <w:bottom w:val="single" w:sz="4" w:space="0" w:color="auto"/>
              <w:right w:val="nil"/>
            </w:tcBorders>
            <w:shd w:val="clear" w:color="auto" w:fill="FFFFFF"/>
            <w:vAlign w:val="center"/>
            <w:hideMark/>
          </w:tcPr>
          <w:p w14:paraId="1C6F59B8"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1,92857</w:t>
            </w:r>
          </w:p>
        </w:tc>
        <w:tc>
          <w:tcPr>
            <w:tcW w:w="839" w:type="dxa"/>
            <w:tcBorders>
              <w:top w:val="nil"/>
              <w:left w:val="nil"/>
              <w:bottom w:val="single" w:sz="4" w:space="0" w:color="auto"/>
              <w:right w:val="nil"/>
            </w:tcBorders>
            <w:shd w:val="clear" w:color="auto" w:fill="FFFFFF"/>
            <w:vAlign w:val="center"/>
            <w:hideMark/>
          </w:tcPr>
          <w:p w14:paraId="76D19ED7"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78680</w:t>
            </w:r>
          </w:p>
        </w:tc>
        <w:tc>
          <w:tcPr>
            <w:tcW w:w="915" w:type="dxa"/>
            <w:tcBorders>
              <w:top w:val="nil"/>
              <w:left w:val="nil"/>
              <w:bottom w:val="single" w:sz="4" w:space="0" w:color="auto"/>
              <w:right w:val="nil"/>
            </w:tcBorders>
            <w:shd w:val="clear" w:color="auto" w:fill="FFFFFF"/>
            <w:vAlign w:val="center"/>
            <w:hideMark/>
          </w:tcPr>
          <w:p w14:paraId="62C78461"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29738</w:t>
            </w:r>
          </w:p>
        </w:tc>
        <w:tc>
          <w:tcPr>
            <w:tcW w:w="780" w:type="dxa"/>
            <w:tcBorders>
              <w:top w:val="nil"/>
              <w:left w:val="nil"/>
              <w:bottom w:val="single" w:sz="4" w:space="0" w:color="auto"/>
              <w:right w:val="nil"/>
            </w:tcBorders>
            <w:shd w:val="clear" w:color="auto" w:fill="FFFFFF"/>
            <w:vAlign w:val="center"/>
            <w:hideMark/>
          </w:tcPr>
          <w:p w14:paraId="1B2E7B32"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1,20091</w:t>
            </w:r>
          </w:p>
        </w:tc>
        <w:tc>
          <w:tcPr>
            <w:tcW w:w="785" w:type="dxa"/>
            <w:tcBorders>
              <w:top w:val="nil"/>
              <w:left w:val="nil"/>
              <w:bottom w:val="single" w:sz="4" w:space="0" w:color="auto"/>
              <w:right w:val="nil"/>
            </w:tcBorders>
            <w:shd w:val="clear" w:color="auto" w:fill="FFFFFF"/>
            <w:vAlign w:val="center"/>
            <w:hideMark/>
          </w:tcPr>
          <w:p w14:paraId="6138ED9A"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2,65624</w:t>
            </w:r>
          </w:p>
        </w:tc>
        <w:tc>
          <w:tcPr>
            <w:tcW w:w="780" w:type="dxa"/>
            <w:tcBorders>
              <w:top w:val="nil"/>
              <w:left w:val="nil"/>
              <w:bottom w:val="single" w:sz="4" w:space="0" w:color="auto"/>
              <w:right w:val="nil"/>
            </w:tcBorders>
            <w:shd w:val="clear" w:color="auto" w:fill="FFFFFF"/>
            <w:vAlign w:val="center"/>
            <w:hideMark/>
          </w:tcPr>
          <w:p w14:paraId="60000EE0"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6,485</w:t>
            </w:r>
          </w:p>
        </w:tc>
        <w:tc>
          <w:tcPr>
            <w:tcW w:w="932" w:type="dxa"/>
            <w:tcBorders>
              <w:top w:val="nil"/>
              <w:left w:val="nil"/>
              <w:bottom w:val="single" w:sz="4" w:space="0" w:color="auto"/>
              <w:right w:val="nil"/>
            </w:tcBorders>
            <w:shd w:val="clear" w:color="auto" w:fill="FFFFFF"/>
            <w:vAlign w:val="center"/>
            <w:hideMark/>
          </w:tcPr>
          <w:p w14:paraId="7D4790B9"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6</w:t>
            </w:r>
          </w:p>
        </w:tc>
        <w:tc>
          <w:tcPr>
            <w:tcW w:w="869" w:type="dxa"/>
            <w:tcBorders>
              <w:top w:val="nil"/>
              <w:left w:val="nil"/>
              <w:bottom w:val="single" w:sz="4" w:space="0" w:color="auto"/>
              <w:right w:val="nil"/>
            </w:tcBorders>
            <w:shd w:val="clear" w:color="auto" w:fill="FFFFFF"/>
            <w:vAlign w:val="center"/>
            <w:hideMark/>
          </w:tcPr>
          <w:p w14:paraId="3D87F1E2" w14:textId="77777777" w:rsidR="001D72FA" w:rsidRDefault="001D72FA">
            <w:pPr>
              <w:autoSpaceDE w:val="0"/>
              <w:autoSpaceDN w:val="0"/>
              <w:adjustRightInd w:val="0"/>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001</w:t>
            </w:r>
          </w:p>
        </w:tc>
      </w:tr>
    </w:tbl>
    <w:p w14:paraId="64927384" w14:textId="77777777" w:rsidR="001D72FA" w:rsidRDefault="001D72FA" w:rsidP="001D72FA">
      <w:pPr>
        <w:rPr>
          <w:rFonts w:ascii="Arial" w:hAnsi="Arial"/>
          <w:color w:val="000000" w:themeColor="text1"/>
          <w:sz w:val="24"/>
        </w:rPr>
      </w:pPr>
      <w:r>
        <w:rPr>
          <w:b/>
        </w:rPr>
        <w:t>Fuente:</w:t>
      </w:r>
      <w:r>
        <w:t xml:space="preserve"> Autora</w:t>
      </w:r>
    </w:p>
    <w:p w14:paraId="61667CDF" w14:textId="6528FC5D" w:rsidR="001D72FA" w:rsidRDefault="001D72FA" w:rsidP="00754429">
      <w:pPr>
        <w:spacing w:line="360" w:lineRule="auto"/>
        <w:jc w:val="both"/>
        <w:rPr>
          <w:rFonts w:ascii="Arial" w:hAnsi="Arial" w:cs="Arial"/>
          <w:sz w:val="24"/>
          <w:szCs w:val="24"/>
        </w:rPr>
      </w:pPr>
      <w:r w:rsidRPr="00754429">
        <w:rPr>
          <w:rFonts w:ascii="Arial" w:hAnsi="Arial" w:cs="Arial"/>
          <w:sz w:val="24"/>
          <w:szCs w:val="24"/>
        </w:rPr>
        <w:lastRenderedPageBreak/>
        <w:t xml:space="preserve">Se ilustra en la tabla el análisis de la varianza de las pruebas de T- students realizadas a las medias del comportamiento, por lo tanto, dado que el p valor de prueba es menor que 0,05 se evidencia que hay diferencia significativa en las medias del comportamiento en los expendedores del mercado municipal de Bahía de Caráquez de la capacitación efectuada. Álvarez y Vega (2010) quienes observaron que luego de aplicadas las intervenciones educativas, “en todos los casos, los sujetos del estudio mejoraron significativamente (en términos estadísticos) sus conocimientos, actitudes y comportamientos”. Así mismo se concuerda con </w:t>
      </w:r>
      <w:r w:rsidRPr="00754429">
        <w:rPr>
          <w:rFonts w:ascii="Arial" w:hAnsi="Arial" w:cs="Arial"/>
          <w:noProof/>
          <w:sz w:val="24"/>
          <w:szCs w:val="24"/>
        </w:rPr>
        <w:t>Chavarria (2016)</w:t>
      </w:r>
      <w:r w:rsidRPr="00754429">
        <w:rPr>
          <w:rFonts w:ascii="Arial" w:hAnsi="Arial" w:cs="Arial"/>
          <w:sz w:val="24"/>
          <w:szCs w:val="24"/>
        </w:rPr>
        <w:t xml:space="preserve"> en el estudio sobre el nivel de conocimiento y prácticas de medidas de bioseguridad presentaron una relación significativa entre ambas variables (prueba exacta de Fisher p = .000), lo cual significa que es necesario el conocimiento sobre bioseguridad para una práctica favorable, y así disminuir el riesgo de infecciones.</w:t>
      </w:r>
    </w:p>
    <w:p w14:paraId="6ECDE2C1" w14:textId="77777777" w:rsidR="00754429" w:rsidRPr="00754429" w:rsidRDefault="00754429" w:rsidP="00754429">
      <w:pPr>
        <w:jc w:val="both"/>
        <w:rPr>
          <w:rFonts w:ascii="Arial" w:hAnsi="Arial" w:cs="Arial"/>
          <w:b/>
          <w:bCs/>
          <w:sz w:val="26"/>
          <w:szCs w:val="26"/>
        </w:rPr>
      </w:pPr>
      <w:bookmarkStart w:id="31" w:name="_Toc78285455"/>
      <w:r w:rsidRPr="00754429">
        <w:rPr>
          <w:rFonts w:ascii="Arial" w:hAnsi="Arial" w:cs="Arial"/>
          <w:b/>
          <w:bCs/>
          <w:sz w:val="26"/>
          <w:szCs w:val="26"/>
        </w:rPr>
        <w:t>ELABORACIÓN DE UNA GUÍA SOBRE LA APLICACIÓN DE NORMAS DE BIOSEGURIDAD Y SANEAMIENTO AMBIENTAL PARA EL FORTALECIMIENTO DE LAS CAPACIDADES DE LOS TRABAJADORES DEL MERCADO MUNICIPAL DE BAHÍA DE CARÁQUEZ.</w:t>
      </w:r>
      <w:bookmarkEnd w:id="31"/>
    </w:p>
    <w:p w14:paraId="6B8106C3" w14:textId="77777777" w:rsidR="00754429" w:rsidRPr="00754429" w:rsidRDefault="00754429" w:rsidP="00754429">
      <w:pPr>
        <w:rPr>
          <w:rFonts w:ascii="Arial" w:hAnsi="Arial" w:cs="Arial"/>
          <w:sz w:val="24"/>
          <w:szCs w:val="24"/>
        </w:rPr>
      </w:pPr>
      <w:r w:rsidRPr="00754429">
        <w:rPr>
          <w:rFonts w:ascii="Arial" w:hAnsi="Arial" w:cs="Arial"/>
          <w:sz w:val="24"/>
          <w:szCs w:val="24"/>
        </w:rPr>
        <w:t>En la siguiente tabla se muestra los resultados obtenidos del análisis FODA.</w:t>
      </w:r>
    </w:p>
    <w:p w14:paraId="4FED6265" w14:textId="77777777" w:rsidR="00754429" w:rsidRPr="00816AF9" w:rsidRDefault="00754429" w:rsidP="00816AF9">
      <w:pPr>
        <w:rPr>
          <w:rFonts w:ascii="Arial" w:hAnsi="Arial" w:cs="Arial"/>
          <w:b/>
          <w:bCs/>
          <w:sz w:val="24"/>
          <w:szCs w:val="24"/>
        </w:rPr>
      </w:pPr>
      <w:bookmarkStart w:id="32" w:name="_Toc78285456"/>
      <w:r w:rsidRPr="00816AF9">
        <w:rPr>
          <w:rFonts w:ascii="Arial" w:hAnsi="Arial" w:cs="Arial"/>
          <w:b/>
          <w:bCs/>
          <w:sz w:val="24"/>
          <w:szCs w:val="24"/>
        </w:rPr>
        <w:t>ANÁLISIS FODA</w:t>
      </w:r>
      <w:bookmarkEnd w:id="32"/>
    </w:p>
    <w:p w14:paraId="60E4AAC2" w14:textId="77777777" w:rsidR="00754429" w:rsidRDefault="00754429" w:rsidP="00754429">
      <w:pPr>
        <w:pStyle w:val="Descripcin"/>
        <w:keepNext/>
        <w:spacing w:after="0"/>
        <w:rPr>
          <w:color w:val="000000" w:themeColor="text1"/>
          <w:sz w:val="24"/>
          <w:szCs w:val="24"/>
        </w:rPr>
      </w:pPr>
      <w:bookmarkStart w:id="33" w:name="_Toc78285509"/>
      <w:r>
        <w:rPr>
          <w:b/>
          <w:i w:val="0"/>
          <w:color w:val="000000" w:themeColor="text1"/>
          <w:sz w:val="24"/>
          <w:szCs w:val="24"/>
        </w:rPr>
        <w:t xml:space="preserve">Tabla </w:t>
      </w:r>
      <w:r>
        <w:fldChar w:fldCharType="begin"/>
      </w:r>
      <w:r>
        <w:rPr>
          <w:b/>
          <w:i w:val="0"/>
          <w:color w:val="000000" w:themeColor="text1"/>
          <w:sz w:val="24"/>
          <w:szCs w:val="24"/>
        </w:rPr>
        <w:instrText xml:space="preserve"> STYLEREF 1 \s </w:instrText>
      </w:r>
      <w:r>
        <w:fldChar w:fldCharType="separate"/>
      </w:r>
      <w:r>
        <w:rPr>
          <w:b/>
          <w:i w:val="0"/>
          <w:noProof/>
          <w:color w:val="000000" w:themeColor="text1"/>
          <w:sz w:val="24"/>
          <w:szCs w:val="24"/>
        </w:rPr>
        <w:t>4</w:t>
      </w:r>
      <w:r>
        <w:fldChar w:fldCharType="end"/>
      </w:r>
      <w:r>
        <w:rPr>
          <w:b/>
          <w:i w:val="0"/>
          <w:color w:val="000000" w:themeColor="text1"/>
          <w:sz w:val="24"/>
          <w:szCs w:val="24"/>
        </w:rPr>
        <w:t>.</w:t>
      </w:r>
      <w:r>
        <w:fldChar w:fldCharType="begin"/>
      </w:r>
      <w:r>
        <w:rPr>
          <w:b/>
          <w:i w:val="0"/>
          <w:color w:val="000000" w:themeColor="text1"/>
          <w:sz w:val="24"/>
          <w:szCs w:val="24"/>
        </w:rPr>
        <w:instrText xml:space="preserve"> SEQ Tabla \* ARABIC \s 1 </w:instrText>
      </w:r>
      <w:r>
        <w:fldChar w:fldCharType="separate"/>
      </w:r>
      <w:r>
        <w:rPr>
          <w:b/>
          <w:i w:val="0"/>
          <w:noProof/>
          <w:color w:val="000000" w:themeColor="text1"/>
          <w:sz w:val="24"/>
          <w:szCs w:val="24"/>
        </w:rPr>
        <w:t>7</w:t>
      </w:r>
      <w:r>
        <w:fldChar w:fldCharType="end"/>
      </w:r>
      <w:r>
        <w:rPr>
          <w:b/>
          <w:i w:val="0"/>
          <w:color w:val="000000" w:themeColor="text1"/>
          <w:sz w:val="24"/>
          <w:szCs w:val="24"/>
        </w:rPr>
        <w:t>.</w:t>
      </w:r>
      <w:r>
        <w:rPr>
          <w:color w:val="000000" w:themeColor="text1"/>
          <w:sz w:val="24"/>
          <w:szCs w:val="24"/>
        </w:rPr>
        <w:t xml:space="preserve"> </w:t>
      </w:r>
    </w:p>
    <w:p w14:paraId="3F77CE29" w14:textId="77777777" w:rsidR="00754429" w:rsidRDefault="00754429" w:rsidP="00754429">
      <w:pPr>
        <w:pStyle w:val="Descripcin"/>
        <w:keepNext/>
        <w:rPr>
          <w:color w:val="000000" w:themeColor="text1"/>
          <w:sz w:val="24"/>
          <w:szCs w:val="24"/>
        </w:rPr>
      </w:pPr>
      <w:r>
        <w:rPr>
          <w:color w:val="000000" w:themeColor="text1"/>
          <w:sz w:val="24"/>
          <w:szCs w:val="24"/>
        </w:rPr>
        <w:t>Matriz FODA del Mercado de Bahía de Caráquez</w:t>
      </w:r>
      <w:bookmarkEnd w:id="33"/>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247"/>
        <w:gridCol w:w="4247"/>
      </w:tblGrid>
      <w:tr w:rsidR="00754429" w14:paraId="06271183" w14:textId="77777777" w:rsidTr="00754429">
        <w:tc>
          <w:tcPr>
            <w:tcW w:w="4247" w:type="dxa"/>
            <w:tcBorders>
              <w:top w:val="single" w:sz="4" w:space="0" w:color="auto"/>
              <w:left w:val="nil"/>
              <w:bottom w:val="single" w:sz="4" w:space="0" w:color="auto"/>
              <w:right w:val="nil"/>
            </w:tcBorders>
            <w:vAlign w:val="center"/>
            <w:hideMark/>
          </w:tcPr>
          <w:p w14:paraId="722CD422" w14:textId="77777777" w:rsidR="00754429" w:rsidRDefault="00754429">
            <w:pPr>
              <w:jc w:val="center"/>
              <w:rPr>
                <w:rFonts w:ascii="Arial Narrow" w:hAnsi="Arial Narrow"/>
                <w:b/>
                <w:color w:val="000000" w:themeColor="text1"/>
                <w:sz w:val="24"/>
              </w:rPr>
            </w:pPr>
            <w:r>
              <w:rPr>
                <w:rFonts w:ascii="Arial Narrow" w:hAnsi="Arial Narrow"/>
                <w:b/>
              </w:rPr>
              <w:t>FORTALEZA</w:t>
            </w:r>
          </w:p>
        </w:tc>
        <w:tc>
          <w:tcPr>
            <w:tcW w:w="4247" w:type="dxa"/>
            <w:tcBorders>
              <w:top w:val="single" w:sz="4" w:space="0" w:color="auto"/>
              <w:left w:val="nil"/>
              <w:bottom w:val="single" w:sz="4" w:space="0" w:color="auto"/>
              <w:right w:val="nil"/>
            </w:tcBorders>
            <w:vAlign w:val="center"/>
            <w:hideMark/>
          </w:tcPr>
          <w:p w14:paraId="3CD30301" w14:textId="77777777" w:rsidR="00754429" w:rsidRDefault="00754429">
            <w:pPr>
              <w:jc w:val="center"/>
              <w:rPr>
                <w:rFonts w:ascii="Arial Narrow" w:hAnsi="Arial Narrow"/>
                <w:b/>
              </w:rPr>
            </w:pPr>
            <w:r>
              <w:rPr>
                <w:rFonts w:ascii="Arial Narrow" w:hAnsi="Arial Narrow"/>
                <w:b/>
              </w:rPr>
              <w:t>OPORTUNIDADES</w:t>
            </w:r>
          </w:p>
        </w:tc>
      </w:tr>
      <w:tr w:rsidR="00754429" w14:paraId="262EB6F4" w14:textId="77777777" w:rsidTr="00754429">
        <w:tc>
          <w:tcPr>
            <w:tcW w:w="4247" w:type="dxa"/>
            <w:tcBorders>
              <w:top w:val="single" w:sz="4" w:space="0" w:color="auto"/>
              <w:left w:val="nil"/>
              <w:bottom w:val="single" w:sz="4" w:space="0" w:color="auto"/>
              <w:right w:val="nil"/>
            </w:tcBorders>
            <w:hideMark/>
          </w:tcPr>
          <w:p w14:paraId="23D78165" w14:textId="77777777" w:rsidR="00754429" w:rsidRDefault="00754429" w:rsidP="00754429">
            <w:pPr>
              <w:pStyle w:val="Prrafodelista"/>
              <w:numPr>
                <w:ilvl w:val="0"/>
                <w:numId w:val="4"/>
              </w:numPr>
              <w:rPr>
                <w:rFonts w:ascii="Arial Narrow" w:hAnsi="Arial Narrow"/>
              </w:rPr>
            </w:pPr>
            <w:r>
              <w:rPr>
                <w:rFonts w:ascii="Arial Narrow" w:hAnsi="Arial Narrow"/>
              </w:rPr>
              <w:t xml:space="preserve"> Instalación física remodelada para el comercio.</w:t>
            </w:r>
          </w:p>
          <w:p w14:paraId="1D8BB904" w14:textId="77777777" w:rsidR="00754429" w:rsidRDefault="00754429" w:rsidP="00754429">
            <w:pPr>
              <w:pStyle w:val="Prrafodelista"/>
              <w:numPr>
                <w:ilvl w:val="0"/>
                <w:numId w:val="4"/>
              </w:numPr>
              <w:spacing w:after="0"/>
              <w:rPr>
                <w:rFonts w:ascii="Arial Narrow" w:hAnsi="Arial Narrow"/>
              </w:rPr>
            </w:pPr>
            <w:r>
              <w:rPr>
                <w:rFonts w:ascii="Arial Narrow" w:hAnsi="Arial Narrow"/>
              </w:rPr>
              <w:t xml:space="preserve">Ubicación del Mercado de Bahía de Caráquez. </w:t>
            </w:r>
          </w:p>
          <w:p w14:paraId="14458035" w14:textId="77777777" w:rsidR="00754429" w:rsidRDefault="00754429" w:rsidP="00754429">
            <w:pPr>
              <w:pStyle w:val="Prrafodelista"/>
              <w:numPr>
                <w:ilvl w:val="0"/>
                <w:numId w:val="4"/>
              </w:numPr>
              <w:spacing w:after="0"/>
              <w:rPr>
                <w:rFonts w:ascii="Arial Narrow" w:hAnsi="Arial Narrow"/>
              </w:rPr>
            </w:pPr>
            <w:r>
              <w:rPr>
                <w:rFonts w:ascii="Arial Narrow" w:hAnsi="Arial Narrow"/>
              </w:rPr>
              <w:t xml:space="preserve">Comité de organización de los empleados. </w:t>
            </w:r>
          </w:p>
          <w:p w14:paraId="49543C1B" w14:textId="77777777" w:rsidR="00754429" w:rsidRDefault="00754429" w:rsidP="00754429">
            <w:pPr>
              <w:pStyle w:val="Prrafodelista"/>
              <w:numPr>
                <w:ilvl w:val="0"/>
                <w:numId w:val="4"/>
              </w:numPr>
              <w:spacing w:after="0"/>
              <w:rPr>
                <w:rFonts w:ascii="Arial Narrow" w:hAnsi="Arial Narrow"/>
              </w:rPr>
            </w:pPr>
            <w:r>
              <w:rPr>
                <w:rFonts w:ascii="Arial Narrow" w:hAnsi="Arial Narrow"/>
              </w:rPr>
              <w:t xml:space="preserve">Relación empática entre expendedor y cliente. </w:t>
            </w:r>
          </w:p>
          <w:p w14:paraId="3F92C342" w14:textId="77777777" w:rsidR="00754429" w:rsidRDefault="00754429" w:rsidP="00754429">
            <w:pPr>
              <w:pStyle w:val="Prrafodelista"/>
              <w:numPr>
                <w:ilvl w:val="0"/>
                <w:numId w:val="4"/>
              </w:numPr>
              <w:spacing w:after="0"/>
              <w:rPr>
                <w:rFonts w:ascii="Arial Narrow" w:hAnsi="Arial Narrow"/>
              </w:rPr>
            </w:pPr>
            <w:r>
              <w:rPr>
                <w:rFonts w:ascii="Arial Narrow" w:hAnsi="Arial Narrow"/>
              </w:rPr>
              <w:t xml:space="preserve">Existe personal Administrativo municipal encargados del mercado.  </w:t>
            </w:r>
          </w:p>
          <w:p w14:paraId="7C598095" w14:textId="77777777" w:rsidR="00754429" w:rsidRDefault="00754429" w:rsidP="00754429">
            <w:pPr>
              <w:pStyle w:val="Prrafodelista"/>
              <w:numPr>
                <w:ilvl w:val="0"/>
                <w:numId w:val="4"/>
              </w:numPr>
              <w:spacing w:after="0"/>
              <w:rPr>
                <w:rFonts w:ascii="Arial Narrow" w:hAnsi="Arial Narrow"/>
              </w:rPr>
            </w:pPr>
            <w:r>
              <w:rPr>
                <w:rFonts w:ascii="Arial Narrow" w:hAnsi="Arial Narrow"/>
              </w:rPr>
              <w:lastRenderedPageBreak/>
              <w:t xml:space="preserve">Ordenanza Municipal que regula el control del mercado municipal. </w:t>
            </w:r>
          </w:p>
        </w:tc>
        <w:tc>
          <w:tcPr>
            <w:tcW w:w="4247" w:type="dxa"/>
            <w:tcBorders>
              <w:top w:val="single" w:sz="4" w:space="0" w:color="auto"/>
              <w:left w:val="nil"/>
              <w:bottom w:val="single" w:sz="4" w:space="0" w:color="auto"/>
              <w:right w:val="nil"/>
            </w:tcBorders>
          </w:tcPr>
          <w:p w14:paraId="10A6CA85" w14:textId="77777777" w:rsidR="00754429" w:rsidRDefault="00754429" w:rsidP="00754429">
            <w:pPr>
              <w:pStyle w:val="Prrafodelista"/>
              <w:numPr>
                <w:ilvl w:val="0"/>
                <w:numId w:val="4"/>
              </w:numPr>
              <w:spacing w:after="0"/>
              <w:rPr>
                <w:rFonts w:ascii="Arial Narrow" w:hAnsi="Arial Narrow"/>
              </w:rPr>
            </w:pPr>
            <w:r>
              <w:rPr>
                <w:rFonts w:ascii="Arial Narrow" w:hAnsi="Arial Narrow"/>
              </w:rPr>
              <w:lastRenderedPageBreak/>
              <w:t xml:space="preserve">Secciones establecidas para el abastecimiento de productos de forma perdurable. </w:t>
            </w:r>
          </w:p>
          <w:p w14:paraId="69B4037D" w14:textId="77777777" w:rsidR="00754429" w:rsidRDefault="00754429" w:rsidP="00754429">
            <w:pPr>
              <w:pStyle w:val="Prrafodelista"/>
              <w:numPr>
                <w:ilvl w:val="0"/>
                <w:numId w:val="4"/>
              </w:numPr>
              <w:spacing w:after="0"/>
              <w:rPr>
                <w:rFonts w:ascii="Arial Narrow" w:hAnsi="Arial Narrow"/>
              </w:rPr>
            </w:pPr>
            <w:r>
              <w:rPr>
                <w:rFonts w:ascii="Arial Narrow" w:hAnsi="Arial Narrow"/>
              </w:rPr>
              <w:t xml:space="preserve">Generación de trabajo para agricultoras, estibadores, comedores y otros. </w:t>
            </w:r>
          </w:p>
          <w:p w14:paraId="39F6D4F0" w14:textId="77777777" w:rsidR="00754429" w:rsidRDefault="00754429" w:rsidP="00754429">
            <w:pPr>
              <w:pStyle w:val="Prrafodelista"/>
              <w:numPr>
                <w:ilvl w:val="0"/>
                <w:numId w:val="4"/>
              </w:numPr>
              <w:spacing w:after="0"/>
              <w:rPr>
                <w:rFonts w:ascii="Arial Narrow" w:hAnsi="Arial Narrow"/>
              </w:rPr>
            </w:pPr>
            <w:r>
              <w:rPr>
                <w:rFonts w:ascii="Arial Narrow" w:hAnsi="Arial Narrow"/>
              </w:rPr>
              <w:t xml:space="preserve">Entidades Públicas de saneamiento y salud. </w:t>
            </w:r>
          </w:p>
          <w:p w14:paraId="4D53BEB3" w14:textId="77777777" w:rsidR="00754429" w:rsidRDefault="00754429">
            <w:pPr>
              <w:pStyle w:val="Prrafodelista"/>
              <w:spacing w:after="0"/>
              <w:rPr>
                <w:rFonts w:ascii="Arial Narrow" w:hAnsi="Arial Narrow"/>
              </w:rPr>
            </w:pPr>
          </w:p>
          <w:p w14:paraId="20C7A5C2" w14:textId="77777777" w:rsidR="00754429" w:rsidRDefault="00754429">
            <w:pPr>
              <w:pStyle w:val="Prrafodelista"/>
              <w:spacing w:after="0"/>
              <w:rPr>
                <w:rFonts w:ascii="Arial Narrow" w:hAnsi="Arial Narrow"/>
              </w:rPr>
            </w:pPr>
          </w:p>
        </w:tc>
      </w:tr>
      <w:tr w:rsidR="00754429" w14:paraId="4F216E5D" w14:textId="77777777" w:rsidTr="00754429">
        <w:tc>
          <w:tcPr>
            <w:tcW w:w="4247" w:type="dxa"/>
            <w:tcBorders>
              <w:top w:val="single" w:sz="4" w:space="0" w:color="auto"/>
              <w:left w:val="nil"/>
              <w:bottom w:val="single" w:sz="4" w:space="0" w:color="auto"/>
              <w:right w:val="nil"/>
            </w:tcBorders>
            <w:vAlign w:val="center"/>
            <w:hideMark/>
          </w:tcPr>
          <w:p w14:paraId="692D804F" w14:textId="77777777" w:rsidR="00754429" w:rsidRDefault="00754429">
            <w:pPr>
              <w:jc w:val="center"/>
              <w:rPr>
                <w:rFonts w:ascii="Arial Narrow" w:hAnsi="Arial Narrow"/>
                <w:b/>
              </w:rPr>
            </w:pPr>
            <w:r>
              <w:rPr>
                <w:rFonts w:ascii="Arial Narrow" w:hAnsi="Arial Narrow"/>
                <w:b/>
              </w:rPr>
              <w:lastRenderedPageBreak/>
              <w:t>DEBILIDADES</w:t>
            </w:r>
          </w:p>
        </w:tc>
        <w:tc>
          <w:tcPr>
            <w:tcW w:w="4247" w:type="dxa"/>
            <w:tcBorders>
              <w:top w:val="single" w:sz="4" w:space="0" w:color="auto"/>
              <w:left w:val="nil"/>
              <w:bottom w:val="single" w:sz="4" w:space="0" w:color="auto"/>
              <w:right w:val="nil"/>
            </w:tcBorders>
            <w:vAlign w:val="center"/>
            <w:hideMark/>
          </w:tcPr>
          <w:p w14:paraId="11A05675" w14:textId="77777777" w:rsidR="00754429" w:rsidRDefault="00754429">
            <w:pPr>
              <w:jc w:val="center"/>
              <w:rPr>
                <w:rFonts w:ascii="Arial Narrow" w:hAnsi="Arial Narrow"/>
                <w:b/>
              </w:rPr>
            </w:pPr>
            <w:r>
              <w:rPr>
                <w:rFonts w:ascii="Arial Narrow" w:hAnsi="Arial Narrow"/>
                <w:b/>
              </w:rPr>
              <w:t>AMENAZAS</w:t>
            </w:r>
          </w:p>
        </w:tc>
      </w:tr>
      <w:tr w:rsidR="00754429" w14:paraId="1F99C6EB" w14:textId="77777777" w:rsidTr="00754429">
        <w:tc>
          <w:tcPr>
            <w:tcW w:w="4247" w:type="dxa"/>
            <w:tcBorders>
              <w:top w:val="single" w:sz="4" w:space="0" w:color="auto"/>
              <w:left w:val="nil"/>
              <w:bottom w:val="single" w:sz="4" w:space="0" w:color="auto"/>
              <w:right w:val="nil"/>
            </w:tcBorders>
          </w:tcPr>
          <w:p w14:paraId="5093D7E6" w14:textId="77777777" w:rsidR="00754429" w:rsidRDefault="00754429">
            <w:pPr>
              <w:rPr>
                <w:rFonts w:ascii="Arial Narrow" w:hAnsi="Arial Narrow"/>
              </w:rPr>
            </w:pPr>
          </w:p>
          <w:p w14:paraId="52CE84E5" w14:textId="77777777" w:rsidR="00754429" w:rsidRDefault="00754429" w:rsidP="00754429">
            <w:pPr>
              <w:pStyle w:val="Prrafodelista"/>
              <w:numPr>
                <w:ilvl w:val="0"/>
                <w:numId w:val="5"/>
              </w:numPr>
              <w:spacing w:after="0"/>
              <w:rPr>
                <w:rFonts w:ascii="Arial Narrow" w:hAnsi="Arial Narrow"/>
              </w:rPr>
            </w:pPr>
            <w:r>
              <w:rPr>
                <w:rFonts w:ascii="Arial Narrow" w:hAnsi="Arial Narrow"/>
              </w:rPr>
              <w:t xml:space="preserve">Señalización deficiente. </w:t>
            </w:r>
          </w:p>
          <w:p w14:paraId="57CD2613" w14:textId="77777777" w:rsidR="00754429" w:rsidRDefault="00754429" w:rsidP="00754429">
            <w:pPr>
              <w:pStyle w:val="Prrafodelista"/>
              <w:numPr>
                <w:ilvl w:val="0"/>
                <w:numId w:val="5"/>
              </w:numPr>
              <w:spacing w:after="0"/>
              <w:rPr>
                <w:rFonts w:ascii="Arial Narrow" w:hAnsi="Arial Narrow"/>
              </w:rPr>
            </w:pPr>
            <w:r>
              <w:rPr>
                <w:rFonts w:ascii="Arial Narrow" w:hAnsi="Arial Narrow"/>
              </w:rPr>
              <w:t xml:space="preserve">Mal uso de sistema de parqueo de consumidores y empleados públicos. </w:t>
            </w:r>
          </w:p>
          <w:p w14:paraId="743A7B6B" w14:textId="77777777" w:rsidR="00754429" w:rsidRDefault="00754429" w:rsidP="00754429">
            <w:pPr>
              <w:pStyle w:val="Prrafodelista"/>
              <w:numPr>
                <w:ilvl w:val="0"/>
                <w:numId w:val="5"/>
              </w:numPr>
              <w:spacing w:after="0"/>
              <w:rPr>
                <w:rFonts w:ascii="Arial Narrow" w:hAnsi="Arial Narrow"/>
              </w:rPr>
            </w:pPr>
            <w:r>
              <w:rPr>
                <w:rFonts w:ascii="Arial Narrow" w:hAnsi="Arial Narrow"/>
              </w:rPr>
              <w:t>Capacitaciones con poca frecuencia para los expendedores del mercado.</w:t>
            </w:r>
          </w:p>
          <w:p w14:paraId="029DB3E2" w14:textId="77777777" w:rsidR="00754429" w:rsidRDefault="00754429">
            <w:pPr>
              <w:pStyle w:val="Prrafodelista"/>
              <w:spacing w:after="0"/>
              <w:rPr>
                <w:rFonts w:ascii="Arial Narrow" w:hAnsi="Arial Narrow"/>
              </w:rPr>
            </w:pPr>
          </w:p>
        </w:tc>
        <w:tc>
          <w:tcPr>
            <w:tcW w:w="4247" w:type="dxa"/>
            <w:tcBorders>
              <w:top w:val="single" w:sz="4" w:space="0" w:color="auto"/>
              <w:left w:val="nil"/>
              <w:bottom w:val="single" w:sz="4" w:space="0" w:color="auto"/>
              <w:right w:val="nil"/>
            </w:tcBorders>
          </w:tcPr>
          <w:p w14:paraId="770A89E3" w14:textId="77777777" w:rsidR="00754429" w:rsidRDefault="00754429">
            <w:pPr>
              <w:rPr>
                <w:rFonts w:ascii="Arial Narrow" w:hAnsi="Arial Narrow"/>
              </w:rPr>
            </w:pPr>
          </w:p>
          <w:p w14:paraId="6A58D0C9" w14:textId="77777777" w:rsidR="00754429" w:rsidRDefault="00754429" w:rsidP="00754429">
            <w:pPr>
              <w:pStyle w:val="Prrafodelista"/>
              <w:numPr>
                <w:ilvl w:val="0"/>
                <w:numId w:val="5"/>
              </w:numPr>
              <w:spacing w:after="0"/>
              <w:rPr>
                <w:rFonts w:ascii="Arial Narrow" w:hAnsi="Arial Narrow"/>
              </w:rPr>
            </w:pPr>
            <w:r>
              <w:rPr>
                <w:rFonts w:ascii="Arial Narrow" w:hAnsi="Arial Narrow"/>
              </w:rPr>
              <w:t>Existencia de un mercado mayorista en la parroquia de Leónidas Plaza.</w:t>
            </w:r>
          </w:p>
          <w:p w14:paraId="6C4EA195" w14:textId="77777777" w:rsidR="00754429" w:rsidRDefault="00754429">
            <w:pPr>
              <w:pStyle w:val="Prrafodelista"/>
              <w:spacing w:after="0"/>
              <w:rPr>
                <w:rFonts w:ascii="Arial Narrow" w:hAnsi="Arial Narrow"/>
              </w:rPr>
            </w:pPr>
          </w:p>
        </w:tc>
      </w:tr>
    </w:tbl>
    <w:p w14:paraId="6970ED86" w14:textId="77777777" w:rsidR="00754429" w:rsidRDefault="00754429" w:rsidP="00754429">
      <w:pPr>
        <w:rPr>
          <w:rFonts w:ascii="Arial" w:hAnsi="Arial"/>
          <w:color w:val="000000" w:themeColor="text1"/>
        </w:rPr>
      </w:pPr>
      <w:r>
        <w:rPr>
          <w:b/>
        </w:rPr>
        <w:t>Fuente:</w:t>
      </w:r>
      <w:r>
        <w:t xml:space="preserve"> Autora</w:t>
      </w:r>
    </w:p>
    <w:p w14:paraId="70666A01" w14:textId="77777777" w:rsidR="00754429" w:rsidRPr="00754429" w:rsidRDefault="00754429" w:rsidP="00754429">
      <w:pPr>
        <w:spacing w:line="360" w:lineRule="auto"/>
        <w:jc w:val="both"/>
        <w:rPr>
          <w:rFonts w:ascii="Arial" w:hAnsi="Arial" w:cs="Arial"/>
          <w:sz w:val="24"/>
          <w:szCs w:val="24"/>
        </w:rPr>
      </w:pPr>
    </w:p>
    <w:p w14:paraId="68E3F017" w14:textId="116FB651" w:rsidR="00816AF9" w:rsidRPr="00816AF9" w:rsidRDefault="00816AF9" w:rsidP="00816AF9">
      <w:pPr>
        <w:rPr>
          <w:rFonts w:ascii="Arial" w:hAnsi="Arial" w:cs="Arial"/>
          <w:b/>
          <w:bCs/>
          <w:sz w:val="26"/>
          <w:szCs w:val="26"/>
        </w:rPr>
      </w:pPr>
      <w:bookmarkStart w:id="34" w:name="_Toc78285458"/>
      <w:r w:rsidRPr="00816AF9">
        <w:rPr>
          <w:rFonts w:ascii="Arial" w:hAnsi="Arial" w:cs="Arial"/>
          <w:b/>
          <w:bCs/>
          <w:sz w:val="26"/>
          <w:szCs w:val="26"/>
        </w:rPr>
        <w:t>GUÍA PARA LA APLICACIÓN DE NORMAS DE BIOSEGURIDAD Y SANEAMIENTO AMBIENTAL</w:t>
      </w:r>
      <w:bookmarkEnd w:id="34"/>
    </w:p>
    <w:p w14:paraId="0B7E7F58" w14:textId="2EECC3B4" w:rsidR="00816AF9" w:rsidRDefault="00816AF9" w:rsidP="00816AF9">
      <w:r>
        <w:rPr>
          <w:noProof/>
          <w:lang w:eastAsia="es-EC"/>
        </w:rPr>
        <w:drawing>
          <wp:anchor distT="0" distB="0" distL="114300" distR="114300" simplePos="0" relativeHeight="251662336" behindDoc="1" locked="0" layoutInCell="1" allowOverlap="1" wp14:anchorId="59ADBAA6" wp14:editId="46E6AD1A">
            <wp:simplePos x="0" y="0"/>
            <wp:positionH relativeFrom="margin">
              <wp:posOffset>2743796</wp:posOffset>
            </wp:positionH>
            <wp:positionV relativeFrom="paragraph">
              <wp:posOffset>133786</wp:posOffset>
            </wp:positionV>
            <wp:extent cx="2726993" cy="3756025"/>
            <wp:effectExtent l="57150" t="57150" r="92710" b="92075"/>
            <wp:wrapNone/>
            <wp:docPr id="36" name="Imagen 36"/>
            <wp:cNvGraphicFramePr/>
            <a:graphic xmlns:a="http://schemas.openxmlformats.org/drawingml/2006/main">
              <a:graphicData uri="http://schemas.openxmlformats.org/drawingml/2006/picture">
                <pic:pic xmlns:pic="http://schemas.openxmlformats.org/drawingml/2006/picture">
                  <pic:nvPicPr>
                    <pic:cNvPr id="36" name="Imagen 3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730646" cy="376105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658240" behindDoc="1" locked="0" layoutInCell="1" allowOverlap="1" wp14:anchorId="6F04B6D1" wp14:editId="4BBB2617">
            <wp:simplePos x="0" y="0"/>
            <wp:positionH relativeFrom="margin">
              <wp:posOffset>-381739</wp:posOffset>
            </wp:positionH>
            <wp:positionV relativeFrom="paragraph">
              <wp:posOffset>130175</wp:posOffset>
            </wp:positionV>
            <wp:extent cx="2836175" cy="3756111"/>
            <wp:effectExtent l="57150" t="57150" r="97790" b="92075"/>
            <wp:wrapNone/>
            <wp:docPr id="30" name="Imagen 30"/>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836175" cy="375611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EE81668" w14:textId="62492EBB" w:rsidR="00816AF9" w:rsidRDefault="00816AF9" w:rsidP="00816AF9"/>
    <w:p w14:paraId="78B05989" w14:textId="137376E1" w:rsidR="00816AF9" w:rsidRDefault="00816AF9" w:rsidP="00816AF9"/>
    <w:p w14:paraId="2067E118" w14:textId="3AB32033" w:rsidR="00816AF9" w:rsidRDefault="00816AF9" w:rsidP="00816AF9"/>
    <w:p w14:paraId="4C33272A" w14:textId="075C2D72" w:rsidR="00816AF9" w:rsidRDefault="00816AF9" w:rsidP="00816AF9">
      <w:pPr>
        <w:spacing w:line="256" w:lineRule="auto"/>
        <w:rPr>
          <w:rFonts w:eastAsia="Times New Roman" w:cs="Arial"/>
          <w:b/>
          <w:bCs/>
        </w:rPr>
      </w:pPr>
    </w:p>
    <w:p w14:paraId="6172611B" w14:textId="488CF609" w:rsidR="00816AF9" w:rsidRDefault="00816AF9" w:rsidP="00816AF9">
      <w:pPr>
        <w:spacing w:line="256" w:lineRule="auto"/>
        <w:rPr>
          <w:rFonts w:eastAsia="Times New Roman" w:cs="Arial"/>
          <w:b/>
          <w:bCs/>
        </w:rPr>
      </w:pPr>
    </w:p>
    <w:p w14:paraId="7C042365" w14:textId="52B01AF5" w:rsidR="00816AF9" w:rsidRDefault="00816AF9" w:rsidP="00816AF9">
      <w:pPr>
        <w:spacing w:line="256" w:lineRule="auto"/>
        <w:rPr>
          <w:rFonts w:eastAsia="Times New Roman" w:cs="Arial"/>
          <w:b/>
          <w:bCs/>
        </w:rPr>
      </w:pPr>
    </w:p>
    <w:p w14:paraId="45CECAAF" w14:textId="6ED7A8BD" w:rsidR="00816AF9" w:rsidRDefault="00816AF9" w:rsidP="00816AF9">
      <w:pPr>
        <w:spacing w:line="256" w:lineRule="auto"/>
        <w:rPr>
          <w:rFonts w:eastAsia="Times New Roman" w:cs="Arial"/>
          <w:b/>
          <w:bCs/>
        </w:rPr>
      </w:pPr>
    </w:p>
    <w:p w14:paraId="2942721E" w14:textId="1A8B978A" w:rsidR="00816AF9" w:rsidRDefault="00816AF9" w:rsidP="00816AF9">
      <w:pPr>
        <w:spacing w:line="256" w:lineRule="auto"/>
        <w:rPr>
          <w:rFonts w:eastAsia="Times New Roman" w:cs="Arial"/>
          <w:b/>
          <w:bCs/>
        </w:rPr>
      </w:pPr>
      <w:r>
        <w:rPr>
          <w:noProof/>
          <w:lang w:eastAsia="es-EC"/>
        </w:rPr>
        <w:drawing>
          <wp:anchor distT="0" distB="0" distL="114300" distR="114300" simplePos="0" relativeHeight="251659264" behindDoc="1" locked="0" layoutInCell="1" allowOverlap="1" wp14:anchorId="7BD8E5A2" wp14:editId="147A7106">
            <wp:simplePos x="0" y="0"/>
            <wp:positionH relativeFrom="margin">
              <wp:posOffset>79375</wp:posOffset>
            </wp:positionH>
            <wp:positionV relativeFrom="paragraph">
              <wp:posOffset>1853423</wp:posOffset>
            </wp:positionV>
            <wp:extent cx="5227092" cy="3141541"/>
            <wp:effectExtent l="0" t="0" r="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7092" cy="3141541"/>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Arial"/>
          <w:b/>
          <w:bCs/>
        </w:rPr>
        <w:br w:type="page"/>
      </w:r>
    </w:p>
    <w:p w14:paraId="33D162C2" w14:textId="736578BC" w:rsidR="001D72FA" w:rsidRPr="00816AF9" w:rsidRDefault="00816AF9" w:rsidP="00816AF9">
      <w:pPr>
        <w:spacing w:line="256" w:lineRule="auto"/>
        <w:jc w:val="center"/>
        <w:rPr>
          <w:rFonts w:eastAsia="Times New Roman" w:cs="Arial"/>
          <w:b/>
          <w:bCs/>
          <w:sz w:val="32"/>
        </w:rPr>
      </w:pPr>
      <w:r>
        <w:rPr>
          <w:noProof/>
          <w:lang w:eastAsia="es-EC"/>
        </w:rPr>
        <w:lastRenderedPageBreak/>
        <w:drawing>
          <wp:anchor distT="0" distB="0" distL="114300" distR="114300" simplePos="0" relativeHeight="251661312" behindDoc="1" locked="0" layoutInCell="1" allowOverlap="1" wp14:anchorId="4AEE74FB" wp14:editId="11E461D5">
            <wp:simplePos x="0" y="0"/>
            <wp:positionH relativeFrom="margin">
              <wp:posOffset>-27305</wp:posOffset>
            </wp:positionH>
            <wp:positionV relativeFrom="paragraph">
              <wp:posOffset>3982720</wp:posOffset>
            </wp:positionV>
            <wp:extent cx="5742305" cy="3785870"/>
            <wp:effectExtent l="57150" t="57150" r="86995" b="43180"/>
            <wp:wrapNone/>
            <wp:docPr id="25" name="Imagen 25"/>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612130" cy="36576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660288" behindDoc="1" locked="0" layoutInCell="1" allowOverlap="1" wp14:anchorId="390AA836" wp14:editId="0D8EA3DB">
            <wp:simplePos x="0" y="0"/>
            <wp:positionH relativeFrom="column">
              <wp:posOffset>-36830</wp:posOffset>
            </wp:positionH>
            <wp:positionV relativeFrom="paragraph">
              <wp:posOffset>20320</wp:posOffset>
            </wp:positionV>
            <wp:extent cx="5742305" cy="3761105"/>
            <wp:effectExtent l="57150" t="57150" r="86995" b="48895"/>
            <wp:wrapNone/>
            <wp:docPr id="24" name="Imagen 24"/>
            <wp:cNvGraphicFramePr/>
            <a:graphic xmlns:a="http://schemas.openxmlformats.org/drawingml/2006/main">
              <a:graphicData uri="http://schemas.openxmlformats.org/drawingml/2006/picture">
                <pic:pic xmlns:pic="http://schemas.openxmlformats.org/drawingml/2006/picture">
                  <pic:nvPicPr>
                    <pic:cNvPr id="24" name="Imagen 2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612130" cy="36334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eastAsia="Times New Roman" w:cs="Arial"/>
          <w:b/>
          <w:bCs/>
          <w:sz w:val="32"/>
        </w:rPr>
        <w:br w:type="page"/>
      </w:r>
    </w:p>
    <w:p w14:paraId="5688CCE0" w14:textId="77777777" w:rsidR="00816AF9" w:rsidRPr="00816AF9" w:rsidRDefault="00816AF9" w:rsidP="00816AF9">
      <w:pPr>
        <w:jc w:val="center"/>
        <w:rPr>
          <w:rFonts w:ascii="Arial" w:hAnsi="Arial" w:cs="Arial"/>
          <w:b/>
          <w:bCs/>
          <w:sz w:val="26"/>
          <w:szCs w:val="26"/>
        </w:rPr>
      </w:pPr>
      <w:r w:rsidRPr="00816AF9">
        <w:rPr>
          <w:rFonts w:ascii="Arial" w:hAnsi="Arial" w:cs="Arial"/>
          <w:b/>
          <w:bCs/>
          <w:sz w:val="26"/>
          <w:szCs w:val="26"/>
        </w:rPr>
        <w:lastRenderedPageBreak/>
        <w:t>CONCLUSIONES Y RECOMENDACIONES</w:t>
      </w:r>
    </w:p>
    <w:p w14:paraId="592896A6" w14:textId="77777777" w:rsidR="00816AF9" w:rsidRPr="00816AF9" w:rsidRDefault="00816AF9" w:rsidP="00816AF9">
      <w:pPr>
        <w:rPr>
          <w:rFonts w:ascii="Arial" w:eastAsiaTheme="majorEastAsia" w:hAnsi="Arial" w:cs="Arial"/>
          <w:b/>
          <w:bCs/>
          <w:sz w:val="24"/>
          <w:szCs w:val="24"/>
        </w:rPr>
      </w:pPr>
      <w:bookmarkStart w:id="35" w:name="_Toc78285460"/>
      <w:r w:rsidRPr="00816AF9">
        <w:rPr>
          <w:rFonts w:ascii="Arial" w:hAnsi="Arial" w:cs="Arial"/>
          <w:b/>
          <w:bCs/>
          <w:sz w:val="24"/>
          <w:szCs w:val="24"/>
        </w:rPr>
        <w:t>CONCLUSIONES</w:t>
      </w:r>
      <w:bookmarkEnd w:id="35"/>
    </w:p>
    <w:p w14:paraId="05284004" w14:textId="77777777" w:rsidR="00816AF9" w:rsidRDefault="00816AF9" w:rsidP="00816AF9">
      <w:pPr>
        <w:pStyle w:val="Prrafodelista"/>
        <w:numPr>
          <w:ilvl w:val="0"/>
          <w:numId w:val="8"/>
        </w:numPr>
      </w:pPr>
      <w:r>
        <w:t>El Mercado Municipal del Cantón Sucre de Bahía de Caráquez cuenta con 6 secciones en las que operan alrededor de 25 personas, con un rango de edad 31- 50 años, un nivel socioeconómico bajo y una educación primaria, se identificó que el 72% de los trabajadores del mercado municipal tienen bajo conocimiento sobre normas de bioseguridad y saneamiento ambiental, además el 36% tuvo un comportamiento aceptable dado que realizan acciones acordes a la situación sanitaria.</w:t>
      </w:r>
    </w:p>
    <w:p w14:paraId="742C8788" w14:textId="77777777" w:rsidR="00816AF9" w:rsidRDefault="00816AF9" w:rsidP="00816AF9">
      <w:pPr>
        <w:pStyle w:val="Prrafodelista"/>
        <w:numPr>
          <w:ilvl w:val="0"/>
          <w:numId w:val="8"/>
        </w:numPr>
      </w:pPr>
      <w:r>
        <w:t>Se desarrolló la estrategia de edumedia-comunicación para la sociabilización de temáticas de bioseguridad y saneamiento ambiental, en la que incremento el conocimiento (52%) y comportamiento (32%) después de la aplicación de la estrategia, a su vez se demostró la significancia estadística, es decir que las sesiones de las capacitaciones influyeron en las medias del conocimiento y comportamiento antes - después con una probabilidad de 95%.</w:t>
      </w:r>
    </w:p>
    <w:p w14:paraId="090C1F50" w14:textId="4D6B3285" w:rsidR="00816AF9" w:rsidRPr="00816AF9" w:rsidRDefault="00816AF9" w:rsidP="00816AF9">
      <w:pPr>
        <w:pStyle w:val="Prrafodelista"/>
        <w:numPr>
          <w:ilvl w:val="0"/>
          <w:numId w:val="8"/>
        </w:numPr>
      </w:pPr>
      <w:r>
        <w:t>Basándose en el análisis FODA (debilidades) se elaboró la matriz del fortalecimiento del mercado municipal donde se ilustra el alcance y las gestiones que se deben realizar para una mejor eficacia del mercado. Así mismo la guía de normas de bioseguridad y saneamiento ambiental aportará como una herramienta técnica para el manejo sanitario de la entidad.</w:t>
      </w:r>
    </w:p>
    <w:p w14:paraId="3119E9A6" w14:textId="77777777" w:rsidR="00816AF9" w:rsidRPr="00816AF9" w:rsidRDefault="00816AF9" w:rsidP="00816AF9">
      <w:pPr>
        <w:rPr>
          <w:rFonts w:ascii="Arial" w:hAnsi="Arial" w:cs="Arial"/>
          <w:b/>
          <w:bCs/>
          <w:sz w:val="24"/>
          <w:szCs w:val="24"/>
        </w:rPr>
      </w:pPr>
      <w:bookmarkStart w:id="36" w:name="_Toc78285461"/>
      <w:r w:rsidRPr="00816AF9">
        <w:rPr>
          <w:rFonts w:ascii="Arial" w:hAnsi="Arial" w:cs="Arial"/>
          <w:b/>
          <w:bCs/>
          <w:sz w:val="24"/>
          <w:szCs w:val="24"/>
        </w:rPr>
        <w:t>RECOMENDACIONES</w:t>
      </w:r>
      <w:bookmarkEnd w:id="36"/>
    </w:p>
    <w:p w14:paraId="4A2557E0" w14:textId="77777777" w:rsidR="00816AF9" w:rsidRDefault="00816AF9" w:rsidP="00816AF9">
      <w:pPr>
        <w:pStyle w:val="Prrafodelista"/>
        <w:numPr>
          <w:ilvl w:val="0"/>
          <w:numId w:val="9"/>
        </w:numPr>
        <w:rPr>
          <w:rFonts w:eastAsia="Times New Roman"/>
          <w:bCs/>
          <w:szCs w:val="24"/>
        </w:rPr>
      </w:pPr>
      <w:r>
        <w:rPr>
          <w:rFonts w:eastAsia="Times New Roman"/>
          <w:bCs/>
          <w:szCs w:val="24"/>
        </w:rPr>
        <w:t>Es importante que los departamentos pertinentes evalúen de forma periódica el nivel de conocimiento de los empleados y por ende implementar capacitaciones que incremente la cultura de bioseguridad, higiene y saneamiento ambiental en todos los ámbitos del mercado municipal.</w:t>
      </w:r>
    </w:p>
    <w:p w14:paraId="15A90CA9" w14:textId="77777777" w:rsidR="00816AF9" w:rsidRDefault="00816AF9" w:rsidP="00816AF9">
      <w:pPr>
        <w:pStyle w:val="Prrafodelista"/>
        <w:numPr>
          <w:ilvl w:val="0"/>
          <w:numId w:val="9"/>
        </w:numPr>
        <w:rPr>
          <w:rFonts w:eastAsia="Times New Roman"/>
          <w:bCs/>
          <w:szCs w:val="24"/>
        </w:rPr>
      </w:pPr>
      <w:r>
        <w:rPr>
          <w:rFonts w:eastAsia="Times New Roman"/>
          <w:bCs/>
          <w:szCs w:val="24"/>
        </w:rPr>
        <w:t>Es necesario que se realicen capacitaciones semestrales sobre la utilización de productos aplicados durante los procesos de saneamiento ambiental del mercado municipal.</w:t>
      </w:r>
    </w:p>
    <w:p w14:paraId="11577289" w14:textId="77777777" w:rsidR="00816AF9" w:rsidRDefault="00816AF9" w:rsidP="00816AF9">
      <w:pPr>
        <w:pStyle w:val="Prrafodelista"/>
        <w:numPr>
          <w:ilvl w:val="0"/>
          <w:numId w:val="9"/>
        </w:numPr>
        <w:rPr>
          <w:rFonts w:eastAsia="Times New Roman"/>
          <w:bCs/>
          <w:szCs w:val="24"/>
        </w:rPr>
      </w:pPr>
      <w:r>
        <w:rPr>
          <w:rFonts w:eastAsia="Times New Roman"/>
          <w:bCs/>
          <w:szCs w:val="24"/>
        </w:rPr>
        <w:lastRenderedPageBreak/>
        <w:t>Es recomendable que el departamento de ambiente del Municipio de Bahía de Caráquez del Cantón Sucre sociabilice y entregue la guía a los comerciantes en formato fisco y/o digital.</w:t>
      </w:r>
    </w:p>
    <w:p w14:paraId="2F8634D7" w14:textId="500085EB" w:rsidR="004948CE" w:rsidRDefault="004948CE" w:rsidP="004948CE">
      <w:pPr>
        <w:jc w:val="center"/>
        <w:rPr>
          <w:rFonts w:ascii="Arial" w:hAnsi="Arial" w:cs="Arial"/>
          <w:b/>
          <w:bCs/>
          <w:sz w:val="24"/>
          <w:szCs w:val="24"/>
        </w:rPr>
      </w:pPr>
      <w:bookmarkStart w:id="37" w:name="_Toc78285462"/>
      <w:r w:rsidRPr="004948CE">
        <w:rPr>
          <w:rFonts w:ascii="Arial" w:hAnsi="Arial" w:cs="Arial"/>
          <w:b/>
          <w:bCs/>
          <w:sz w:val="24"/>
          <w:szCs w:val="24"/>
        </w:rPr>
        <w:t>REFERENCIAS</w:t>
      </w:r>
      <w:bookmarkEnd w:id="37"/>
    </w:p>
    <w:p w14:paraId="2B918841" w14:textId="5C7729A8" w:rsidR="00DF321D" w:rsidRDefault="00DF321D" w:rsidP="00DF321D">
      <w:pPr>
        <w:spacing w:line="240" w:lineRule="auto"/>
        <w:ind w:left="720" w:hanging="720"/>
        <w:jc w:val="both"/>
        <w:rPr>
          <w:rFonts w:ascii="Arial" w:eastAsia="Calibri" w:hAnsi="Arial" w:cs="Times New Roman"/>
          <w:noProof/>
          <w:color w:val="000000" w:themeColor="text1"/>
          <w:sz w:val="24"/>
          <w:lang w:val="es-ES"/>
        </w:rPr>
      </w:pPr>
      <w:r w:rsidRPr="00DF321D">
        <w:rPr>
          <w:rFonts w:ascii="Arial" w:eastAsia="Calibri" w:hAnsi="Arial" w:cs="Times New Roman"/>
          <w:noProof/>
          <w:color w:val="000000" w:themeColor="text1"/>
          <w:sz w:val="24"/>
          <w:lang w:val="es-ES"/>
        </w:rPr>
        <w:t xml:space="preserve">Aveiga , A. (2020). </w:t>
      </w:r>
      <w:r w:rsidRPr="00DF321D">
        <w:rPr>
          <w:rFonts w:ascii="Arial" w:eastAsia="Calibri" w:hAnsi="Arial" w:cs="Times New Roman"/>
          <w:i/>
          <w:iCs/>
          <w:noProof/>
          <w:color w:val="000000" w:themeColor="text1"/>
          <w:sz w:val="24"/>
          <w:lang w:val="es-ES"/>
        </w:rPr>
        <w:t>El conocimiento ambiental y el comportamiento proambiental .</w:t>
      </w:r>
      <w:r w:rsidRPr="00DF321D">
        <w:rPr>
          <w:rFonts w:ascii="Arial" w:eastAsia="Calibri" w:hAnsi="Arial" w:cs="Times New Roman"/>
          <w:noProof/>
          <w:color w:val="000000" w:themeColor="text1"/>
          <w:sz w:val="24"/>
          <w:lang w:val="es-ES"/>
        </w:rPr>
        <w:t xml:space="preserve"> </w:t>
      </w:r>
      <w:hyperlink r:id="rId24" w:history="1">
        <w:r w:rsidRPr="00DF321D">
          <w:rPr>
            <w:rStyle w:val="Hipervnculo"/>
            <w:rFonts w:ascii="Arial" w:eastAsia="Calibri" w:hAnsi="Arial" w:cs="Times New Roman"/>
            <w:noProof/>
            <w:color w:val="000000" w:themeColor="text1"/>
            <w:sz w:val="24"/>
            <w:u w:val="none"/>
            <w:lang w:val="es-ES"/>
          </w:rPr>
          <w:t>file:///C:/Users/Usuario/Downloads/Aveiga_oa.pdf</w:t>
        </w:r>
      </w:hyperlink>
    </w:p>
    <w:p w14:paraId="643E3A43" w14:textId="546E17A5" w:rsidR="00DF321D" w:rsidRDefault="00DF321D" w:rsidP="00DF321D">
      <w:pPr>
        <w:spacing w:line="360" w:lineRule="auto"/>
        <w:ind w:left="720" w:hanging="720"/>
        <w:jc w:val="both"/>
        <w:rPr>
          <w:rFonts w:ascii="Arial" w:eastAsia="Calibri" w:hAnsi="Arial" w:cs="Arial"/>
          <w:color w:val="000000" w:themeColor="text1"/>
          <w:sz w:val="24"/>
          <w:szCs w:val="24"/>
        </w:rPr>
      </w:pPr>
      <w:r w:rsidRPr="00DF321D">
        <w:rPr>
          <w:rFonts w:ascii="Arial" w:eastAsia="Calibri" w:hAnsi="Arial" w:cs="Arial"/>
          <w:color w:val="000000" w:themeColor="text1"/>
          <w:sz w:val="24"/>
          <w:szCs w:val="24"/>
        </w:rPr>
        <w:t xml:space="preserve">Alvares y Vega. (2016). Diseño arquitectónico del mercado municipal del cantón San Cristóbal de Patate. </w:t>
      </w:r>
      <w:hyperlink r:id="rId25" w:history="1">
        <w:r w:rsidR="00075064" w:rsidRPr="00DF321D">
          <w:rPr>
            <w:rStyle w:val="Hipervnculo"/>
            <w:rFonts w:ascii="Arial" w:eastAsia="Calibri" w:hAnsi="Arial" w:cs="Arial"/>
            <w:color w:val="000000" w:themeColor="text1"/>
            <w:sz w:val="24"/>
            <w:szCs w:val="24"/>
            <w:u w:val="none"/>
          </w:rPr>
          <w:t>http://www.dspace.uce.edu.ec/handle/25000/10011</w:t>
        </w:r>
      </w:hyperlink>
    </w:p>
    <w:p w14:paraId="097EB9BF" w14:textId="18C4161C" w:rsidR="00075064" w:rsidRPr="00075064" w:rsidRDefault="00075064" w:rsidP="00075064">
      <w:pPr>
        <w:spacing w:line="240" w:lineRule="auto"/>
        <w:ind w:left="720" w:hanging="720"/>
        <w:jc w:val="both"/>
        <w:rPr>
          <w:rFonts w:ascii="Arial" w:eastAsia="Calibri" w:hAnsi="Arial" w:cs="Times New Roman"/>
          <w:noProof/>
          <w:color w:val="000000" w:themeColor="text1"/>
          <w:sz w:val="24"/>
          <w:lang w:val="es-ES"/>
        </w:rPr>
      </w:pPr>
      <w:r w:rsidRPr="00075064">
        <w:rPr>
          <w:rFonts w:ascii="Arial" w:eastAsia="Calibri" w:hAnsi="Arial" w:cs="Times New Roman"/>
          <w:noProof/>
          <w:color w:val="000000" w:themeColor="text1"/>
          <w:sz w:val="24"/>
          <w:lang w:val="es-ES"/>
        </w:rPr>
        <w:t xml:space="preserve">Adame, A. (2007). </w:t>
      </w:r>
      <w:r w:rsidRPr="00075064">
        <w:rPr>
          <w:rFonts w:ascii="Arial" w:eastAsia="Calibri" w:hAnsi="Arial" w:cs="Times New Roman"/>
          <w:i/>
          <w:iCs/>
          <w:noProof/>
          <w:color w:val="000000" w:themeColor="text1"/>
          <w:sz w:val="24"/>
          <w:lang w:val="es-ES"/>
        </w:rPr>
        <w:t>Medios Audiovisuales en el aula.</w:t>
      </w:r>
      <w:r w:rsidRPr="00075064">
        <w:rPr>
          <w:rFonts w:ascii="Arial" w:eastAsia="Calibri" w:hAnsi="Arial" w:cs="Times New Roman"/>
          <w:noProof/>
          <w:color w:val="000000" w:themeColor="text1"/>
          <w:sz w:val="24"/>
          <w:lang w:val="es-ES"/>
        </w:rPr>
        <w:t xml:space="preserve"> http://online.aliat.edu.mx/Desarrollo/Maestria/TecEducV2/Sesion5/txt/ANTONIO_ADAME_TOMAS01.pdf</w:t>
      </w:r>
    </w:p>
    <w:p w14:paraId="01A16F2D" w14:textId="55F82432" w:rsidR="00DF321D" w:rsidRDefault="00DF321D" w:rsidP="00DF321D">
      <w:pPr>
        <w:spacing w:line="240" w:lineRule="auto"/>
        <w:ind w:left="709" w:hanging="709"/>
        <w:jc w:val="both"/>
        <w:rPr>
          <w:rFonts w:ascii="Arial" w:eastAsia="Calibri" w:hAnsi="Arial" w:cs="Arial"/>
          <w:sz w:val="24"/>
          <w:szCs w:val="24"/>
        </w:rPr>
      </w:pPr>
      <w:r w:rsidRPr="00DF321D">
        <w:rPr>
          <w:rFonts w:ascii="Arial" w:eastAsia="Calibri" w:hAnsi="Arial" w:cs="Arial"/>
          <w:sz w:val="24"/>
          <w:szCs w:val="24"/>
        </w:rPr>
        <w:t xml:space="preserve">Bailón, P., y Mendoza, J. (2017). </w:t>
      </w:r>
      <w:r w:rsidRPr="00DF321D">
        <w:rPr>
          <w:rFonts w:ascii="Arial" w:eastAsia="Calibri" w:hAnsi="Arial" w:cs="Arial"/>
          <w:i/>
          <w:sz w:val="24"/>
          <w:szCs w:val="24"/>
        </w:rPr>
        <w:t xml:space="preserve">Evaluación de riesgos físicos-mecánicos y su incidencia en la salud y seguridad ocupacional de los trabajadores en la empresa Producom (tesis de pregrado). </w:t>
      </w:r>
      <w:r w:rsidRPr="00DF321D">
        <w:rPr>
          <w:rFonts w:ascii="Arial" w:eastAsia="Calibri" w:hAnsi="Arial" w:cs="Arial"/>
          <w:sz w:val="24"/>
          <w:szCs w:val="24"/>
        </w:rPr>
        <w:t>ESPAM. Manabí, Ecuador.</w:t>
      </w:r>
    </w:p>
    <w:p w14:paraId="3F1E644F" w14:textId="497DFEB6" w:rsidR="00BD00ED" w:rsidRDefault="00BD00ED" w:rsidP="00BD00ED">
      <w:pPr>
        <w:spacing w:line="240" w:lineRule="auto"/>
        <w:ind w:left="709" w:hanging="709"/>
        <w:jc w:val="both"/>
        <w:rPr>
          <w:rFonts w:ascii="Arial" w:eastAsia="Calibri" w:hAnsi="Arial" w:cs="Arial"/>
          <w:sz w:val="24"/>
          <w:szCs w:val="24"/>
        </w:rPr>
      </w:pPr>
      <w:r w:rsidRPr="00BD00ED">
        <w:rPr>
          <w:rFonts w:ascii="Arial" w:eastAsia="Calibri" w:hAnsi="Arial" w:cs="Arial"/>
          <w:sz w:val="24"/>
          <w:szCs w:val="24"/>
        </w:rPr>
        <w:t>Bravo, D., y Carvajal, M. (2020). Pruebas PCR de covid-19 en mercados de Quito se inician en San Roque.https://www.elcomercio.com/actualidad/pruebas-pcr-mercados-municipio-salud.html</w:t>
      </w:r>
    </w:p>
    <w:p w14:paraId="5F4F04C9" w14:textId="564694B1" w:rsidR="00BD00ED" w:rsidRDefault="00BD00ED" w:rsidP="00DF321D">
      <w:pPr>
        <w:spacing w:line="240" w:lineRule="auto"/>
        <w:ind w:left="709" w:hanging="709"/>
        <w:jc w:val="both"/>
        <w:rPr>
          <w:rFonts w:ascii="Arial" w:eastAsia="Calibri" w:hAnsi="Arial" w:cs="Times New Roman"/>
          <w:color w:val="000000" w:themeColor="text1"/>
          <w:sz w:val="24"/>
        </w:rPr>
      </w:pPr>
      <w:r w:rsidRPr="00BD00ED">
        <w:rPr>
          <w:rFonts w:ascii="Arial" w:eastAsia="Calibri" w:hAnsi="Arial" w:cs="Arial"/>
          <w:sz w:val="24"/>
          <w:szCs w:val="24"/>
        </w:rPr>
        <w:t xml:space="preserve">Barriga, F., Vásquez, E., Peña, C., y Castillo, E. (2020). Guía y Plan general para el retorno progresivo de las actividades laborales. </w:t>
      </w:r>
      <w:hyperlink r:id="rId26" w:history="1">
        <w:r w:rsidRPr="00BD00ED">
          <w:rPr>
            <w:rFonts w:ascii="Arial" w:eastAsia="Calibri" w:hAnsi="Arial" w:cs="Arial"/>
            <w:sz w:val="24"/>
            <w:szCs w:val="24"/>
          </w:rPr>
          <w:t>file:///E:/ESPAM/TESIS%20CARLA/documentos/Guíayplangeneralparaelretornoprogresivo.pdf</w:t>
        </w:r>
      </w:hyperlink>
    </w:p>
    <w:p w14:paraId="6CC3367F" w14:textId="5EDE9BAF" w:rsidR="00DF321D" w:rsidRDefault="00DF321D" w:rsidP="00DF321D">
      <w:pPr>
        <w:spacing w:line="360" w:lineRule="auto"/>
        <w:ind w:left="720" w:hanging="720"/>
        <w:jc w:val="both"/>
        <w:rPr>
          <w:rFonts w:ascii="Arial" w:eastAsia="Calibri" w:hAnsi="Arial" w:cs="Times New Roman"/>
          <w:noProof/>
          <w:color w:val="000000" w:themeColor="text1"/>
          <w:sz w:val="24"/>
        </w:rPr>
      </w:pPr>
      <w:r w:rsidRPr="00DF321D">
        <w:rPr>
          <w:rFonts w:ascii="Arial" w:eastAsia="Calibri" w:hAnsi="Arial" w:cs="Times New Roman"/>
          <w:noProof/>
          <w:color w:val="000000" w:themeColor="text1"/>
          <w:sz w:val="24"/>
        </w:rPr>
        <w:t xml:space="preserve">Ballesteros , H., Verde , J., Costabel, M., Sangiovanni, R., Dutra, I., Rundie, D., .  . Bazán, L. (2010). </w:t>
      </w:r>
      <w:r w:rsidRPr="00DF321D">
        <w:rPr>
          <w:rFonts w:ascii="Arial" w:eastAsia="Calibri" w:hAnsi="Arial" w:cs="Times New Roman"/>
          <w:iCs/>
          <w:noProof/>
          <w:color w:val="000000" w:themeColor="text1"/>
          <w:sz w:val="24"/>
        </w:rPr>
        <w:t>Analisis Foda(Fortalezas,oportunidades,debilidades y amenazas)</w:t>
      </w:r>
      <w:r w:rsidRPr="00DF321D">
        <w:rPr>
          <w:rFonts w:ascii="Arial" w:eastAsia="Calibri" w:hAnsi="Arial" w:cs="Times New Roman"/>
          <w:noProof/>
          <w:color w:val="000000" w:themeColor="text1"/>
          <w:sz w:val="24"/>
        </w:rPr>
        <w:t>.file:///C:/Users/Usuario/Downloads/85-Texto%20del%20art%C3%ADculo-334-1-10-20150826.pdf</w:t>
      </w:r>
    </w:p>
    <w:p w14:paraId="1D07797E" w14:textId="2559A6D9" w:rsidR="00DF321D" w:rsidRDefault="00DF321D" w:rsidP="00DF321D">
      <w:pPr>
        <w:spacing w:line="240" w:lineRule="auto"/>
        <w:ind w:left="720" w:hanging="720"/>
        <w:jc w:val="both"/>
        <w:rPr>
          <w:rFonts w:ascii="Arial" w:eastAsia="Calibri" w:hAnsi="Arial" w:cs="Times New Roman"/>
          <w:noProof/>
          <w:color w:val="000000" w:themeColor="text1"/>
          <w:sz w:val="24"/>
          <w:lang w:val="es-ES"/>
        </w:rPr>
      </w:pPr>
      <w:r w:rsidRPr="00DF321D">
        <w:rPr>
          <w:rFonts w:ascii="Arial" w:eastAsia="Calibri" w:hAnsi="Arial" w:cs="Times New Roman"/>
          <w:noProof/>
          <w:color w:val="000000" w:themeColor="text1"/>
          <w:sz w:val="24"/>
          <w:lang w:val="es-ES"/>
        </w:rPr>
        <w:t xml:space="preserve">Bermeo, J., Cabezas, E., Carpio, T., Chiribiga, O., Paladines , B., Romero, C., . . . Torres , A. (2020). </w:t>
      </w:r>
      <w:r w:rsidRPr="00DF321D">
        <w:rPr>
          <w:rFonts w:ascii="Arial" w:eastAsia="Calibri" w:hAnsi="Arial" w:cs="Times New Roman"/>
          <w:i/>
          <w:iCs/>
          <w:noProof/>
          <w:color w:val="000000" w:themeColor="text1"/>
          <w:sz w:val="24"/>
          <w:lang w:val="es-ES"/>
        </w:rPr>
        <w:t>Guía de teletrabajo emergente ante el covid-19</w:t>
      </w:r>
      <w:r w:rsidRPr="00DF321D">
        <w:rPr>
          <w:rFonts w:ascii="Arial" w:eastAsia="Calibri" w:hAnsi="Arial" w:cs="Times New Roman"/>
          <w:noProof/>
          <w:color w:val="000000" w:themeColor="text1"/>
          <w:sz w:val="24"/>
          <w:lang w:val="es-ES"/>
        </w:rPr>
        <w:t xml:space="preserve">. </w:t>
      </w:r>
      <w:hyperlink r:id="rId27" w:history="1">
        <w:r w:rsidRPr="00DF321D">
          <w:rPr>
            <w:rStyle w:val="Hipervnculo"/>
            <w:rFonts w:ascii="Arial" w:eastAsia="Calibri" w:hAnsi="Arial" w:cs="Times New Roman"/>
            <w:noProof/>
            <w:color w:val="000000" w:themeColor="text1"/>
            <w:sz w:val="24"/>
            <w:u w:val="none"/>
            <w:lang w:val="es-ES"/>
          </w:rPr>
          <w:t>https://www.cedia.edu.ec/dmdocuments/publicaciones/Folletos/guia_teletrabajo.pdf</w:t>
        </w:r>
      </w:hyperlink>
    </w:p>
    <w:p w14:paraId="49FD3424" w14:textId="401D1881" w:rsidR="00DF321D" w:rsidRDefault="00DF321D" w:rsidP="00DF321D">
      <w:pPr>
        <w:spacing w:line="240" w:lineRule="auto"/>
        <w:ind w:left="709" w:hanging="709"/>
        <w:jc w:val="both"/>
        <w:rPr>
          <w:rFonts w:ascii="Arial" w:eastAsia="Calibri" w:hAnsi="Arial" w:cs="Arial"/>
          <w:sz w:val="24"/>
          <w:szCs w:val="24"/>
        </w:rPr>
      </w:pPr>
      <w:r w:rsidRPr="00DF321D">
        <w:rPr>
          <w:rFonts w:ascii="Arial" w:eastAsia="Calibri" w:hAnsi="Arial" w:cs="Arial"/>
          <w:sz w:val="24"/>
          <w:szCs w:val="24"/>
        </w:rPr>
        <w:t xml:space="preserve">Castillo, A. (2013). Seguridad e Higiene Industrial de los Mercados Municipales. </w:t>
      </w:r>
      <w:hyperlink r:id="rId28" w:history="1">
        <w:r w:rsidR="00075064" w:rsidRPr="00DF321D">
          <w:rPr>
            <w:rStyle w:val="Hipervnculo"/>
            <w:rFonts w:ascii="Arial" w:eastAsia="Calibri" w:hAnsi="Arial" w:cs="Arial"/>
            <w:color w:val="000000" w:themeColor="text1"/>
            <w:sz w:val="24"/>
            <w:szCs w:val="24"/>
            <w:u w:val="none"/>
          </w:rPr>
          <w:t>file:///E:/TESIS%20CARLA/Cardillo-Diana.pdf</w:t>
        </w:r>
      </w:hyperlink>
    </w:p>
    <w:p w14:paraId="70BF7918" w14:textId="08E53E4E" w:rsidR="00075064" w:rsidRPr="00075064" w:rsidRDefault="00075064" w:rsidP="00075064">
      <w:pPr>
        <w:spacing w:line="240" w:lineRule="auto"/>
        <w:ind w:left="720" w:hanging="720"/>
        <w:jc w:val="both"/>
        <w:rPr>
          <w:rFonts w:ascii="Arial" w:eastAsia="Calibri" w:hAnsi="Arial" w:cs="Arial"/>
          <w:noProof/>
          <w:color w:val="000000" w:themeColor="text1"/>
          <w:sz w:val="24"/>
          <w:szCs w:val="24"/>
          <w:lang w:val="es-ES"/>
        </w:rPr>
      </w:pPr>
      <w:r w:rsidRPr="00075064">
        <w:rPr>
          <w:rFonts w:ascii="Arial" w:eastAsia="Calibri" w:hAnsi="Arial" w:cs="Arial"/>
          <w:noProof/>
          <w:color w:val="000000" w:themeColor="text1"/>
          <w:sz w:val="24"/>
          <w:szCs w:val="24"/>
        </w:rPr>
        <w:t xml:space="preserve">Chavarria, F. (2016). </w:t>
      </w:r>
      <w:r w:rsidRPr="00075064">
        <w:rPr>
          <w:rFonts w:ascii="Arial" w:eastAsia="Calibri" w:hAnsi="Arial" w:cs="Arial"/>
          <w:i/>
          <w:iCs/>
          <w:noProof/>
          <w:color w:val="000000" w:themeColor="text1"/>
          <w:sz w:val="24"/>
          <w:szCs w:val="24"/>
          <w:lang w:val="es-ES"/>
        </w:rPr>
        <w:t>Nivel de conocimiento y práctica de medidas de bioseguridad.</w:t>
      </w:r>
      <w:r w:rsidRPr="00075064">
        <w:rPr>
          <w:rFonts w:ascii="Arial" w:eastAsia="Calibri" w:hAnsi="Arial" w:cs="Arial"/>
          <w:noProof/>
          <w:color w:val="000000" w:themeColor="text1"/>
          <w:sz w:val="24"/>
          <w:szCs w:val="24"/>
          <w:lang w:val="es-ES"/>
        </w:rPr>
        <w:t xml:space="preserve"> http://www.scielo.org.pe/scielo.php?script=sci_arttext&amp;pid=S1727-558X2018000400006</w:t>
      </w:r>
    </w:p>
    <w:p w14:paraId="386F86FC" w14:textId="7FDBACE9" w:rsidR="00DF321D" w:rsidRDefault="00DF321D" w:rsidP="00DF321D">
      <w:pPr>
        <w:spacing w:line="360" w:lineRule="auto"/>
        <w:ind w:left="720" w:hanging="720"/>
        <w:jc w:val="both"/>
        <w:rPr>
          <w:rFonts w:ascii="Arial" w:eastAsia="Calibri" w:hAnsi="Arial" w:cs="Times New Roman"/>
          <w:noProof/>
          <w:color w:val="000000" w:themeColor="text1"/>
          <w:sz w:val="24"/>
          <w:lang w:val="es-ES"/>
        </w:rPr>
      </w:pPr>
      <w:r w:rsidRPr="00DF321D">
        <w:rPr>
          <w:rFonts w:ascii="Arial" w:eastAsia="Calibri" w:hAnsi="Arial" w:cs="Times New Roman"/>
          <w:noProof/>
          <w:color w:val="000000" w:themeColor="text1"/>
          <w:sz w:val="24"/>
          <w:lang w:val="es-ES"/>
        </w:rPr>
        <w:lastRenderedPageBreak/>
        <w:t xml:space="preserve">ExpokNews. (2013). </w:t>
      </w:r>
      <w:r w:rsidRPr="00DF321D">
        <w:rPr>
          <w:rFonts w:ascii="Arial" w:eastAsia="Calibri" w:hAnsi="Arial" w:cs="Times New Roman"/>
          <w:i/>
          <w:iCs/>
          <w:noProof/>
          <w:color w:val="000000" w:themeColor="text1"/>
          <w:sz w:val="24"/>
          <w:lang w:val="es-ES"/>
        </w:rPr>
        <w:t>A qué nos referimos cuando hablamos de fortalecimiento institucional de las OSC.</w:t>
      </w:r>
      <w:r w:rsidRPr="00DF321D">
        <w:rPr>
          <w:rFonts w:ascii="Arial" w:eastAsia="Calibri" w:hAnsi="Arial" w:cs="Times New Roman"/>
          <w:noProof/>
          <w:color w:val="000000" w:themeColor="text1"/>
          <w:sz w:val="24"/>
          <w:lang w:val="es-ES"/>
        </w:rPr>
        <w:t xml:space="preserve"> </w:t>
      </w:r>
      <w:hyperlink r:id="rId29" w:history="1">
        <w:r w:rsidR="00075064" w:rsidRPr="00DF321D">
          <w:rPr>
            <w:rStyle w:val="Hipervnculo"/>
            <w:rFonts w:ascii="Arial" w:eastAsia="Calibri" w:hAnsi="Arial" w:cs="Times New Roman"/>
            <w:noProof/>
            <w:color w:val="000000" w:themeColor="text1"/>
            <w:sz w:val="24"/>
            <w:u w:val="none"/>
            <w:lang w:val="es-ES"/>
          </w:rPr>
          <w:t>https://www.expoknews.com/a-que-nos-referimos-cuando-hablamos-de-fortalecimiento-institucional-de-las-osc/</w:t>
        </w:r>
      </w:hyperlink>
    </w:p>
    <w:p w14:paraId="14713259" w14:textId="2FF624E6" w:rsidR="00075064" w:rsidRDefault="00075064" w:rsidP="00075064">
      <w:pPr>
        <w:spacing w:line="360" w:lineRule="auto"/>
        <w:ind w:left="720" w:hanging="720"/>
        <w:jc w:val="both"/>
        <w:rPr>
          <w:rFonts w:ascii="Arial" w:eastAsia="Calibri" w:hAnsi="Arial" w:cs="Times New Roman"/>
          <w:color w:val="000000" w:themeColor="text1"/>
          <w:sz w:val="24"/>
        </w:rPr>
      </w:pPr>
      <w:r w:rsidRPr="00075064">
        <w:rPr>
          <w:rFonts w:ascii="Arial" w:eastAsia="Calibri" w:hAnsi="Arial" w:cs="Times New Roman"/>
          <w:noProof/>
          <w:color w:val="000000" w:themeColor="text1"/>
          <w:sz w:val="24"/>
          <w:lang w:val="es-ES"/>
        </w:rPr>
        <w:t xml:space="preserve">Lanson, D. (2013). </w:t>
      </w:r>
      <w:r w:rsidRPr="00075064">
        <w:rPr>
          <w:rFonts w:ascii="Arial" w:eastAsia="Calibri" w:hAnsi="Arial" w:cs="Times New Roman"/>
          <w:i/>
          <w:iCs/>
          <w:noProof/>
          <w:color w:val="000000" w:themeColor="text1"/>
          <w:sz w:val="24"/>
          <w:lang w:val="es-ES"/>
        </w:rPr>
        <w:t>Integración de Audiovisuales en Estrategias de Educación Ambient</w:t>
      </w:r>
      <w:r w:rsidRPr="00075064">
        <w:rPr>
          <w:rFonts w:ascii="Arial" w:eastAsia="Calibri" w:hAnsi="Arial" w:cs="Times New Roman"/>
          <w:i/>
          <w:iCs/>
          <w:noProof/>
          <w:sz w:val="24"/>
          <w:lang w:val="es-ES"/>
        </w:rPr>
        <w:t>al.</w:t>
      </w:r>
      <w:r w:rsidRPr="00075064">
        <w:rPr>
          <w:rFonts w:ascii="Arial" w:eastAsia="Calibri" w:hAnsi="Arial" w:cs="Times New Roman"/>
          <w:noProof/>
          <w:sz w:val="24"/>
          <w:lang w:val="es-ES"/>
        </w:rPr>
        <w:t xml:space="preserve"> </w:t>
      </w:r>
      <w:hyperlink r:id="rId30" w:history="1">
        <w:r w:rsidRPr="00075064">
          <w:rPr>
            <w:rFonts w:ascii="Arial" w:eastAsia="Calibri" w:hAnsi="Arial" w:cs="Times New Roman"/>
            <w:noProof/>
            <w:sz w:val="24"/>
            <w:lang w:val="es-ES"/>
          </w:rPr>
          <w:t>https://cdsa.aacademica.org/000-038/689.pdf</w:t>
        </w:r>
      </w:hyperlink>
    </w:p>
    <w:p w14:paraId="10F2481A" w14:textId="30B50739" w:rsidR="00075064" w:rsidRPr="00075064" w:rsidRDefault="00075064" w:rsidP="00075064">
      <w:pPr>
        <w:spacing w:line="240" w:lineRule="auto"/>
        <w:ind w:left="720" w:hanging="720"/>
        <w:jc w:val="both"/>
        <w:rPr>
          <w:rFonts w:ascii="Arial" w:eastAsia="Calibri" w:hAnsi="Arial" w:cs="Arial"/>
          <w:noProof/>
          <w:color w:val="000000" w:themeColor="text1"/>
          <w:sz w:val="24"/>
          <w:szCs w:val="24"/>
          <w:lang w:val="es-ES"/>
        </w:rPr>
      </w:pPr>
      <w:r w:rsidRPr="00075064">
        <w:rPr>
          <w:rFonts w:ascii="Arial" w:eastAsia="Calibri" w:hAnsi="Arial" w:cs="Arial"/>
          <w:noProof/>
          <w:color w:val="000000" w:themeColor="text1"/>
          <w:sz w:val="24"/>
          <w:szCs w:val="24"/>
          <w:lang w:val="es-ES"/>
        </w:rPr>
        <w:t xml:space="preserve">Leno, D. (2015). </w:t>
      </w:r>
      <w:r w:rsidRPr="00075064">
        <w:rPr>
          <w:rFonts w:ascii="Arial" w:eastAsia="Calibri" w:hAnsi="Arial" w:cs="Arial"/>
          <w:i/>
          <w:iCs/>
          <w:noProof/>
          <w:color w:val="000000" w:themeColor="text1"/>
          <w:sz w:val="24"/>
          <w:szCs w:val="24"/>
          <w:lang w:val="es-ES"/>
        </w:rPr>
        <w:t>Cultura Sanitaria en Tiempos de Epidemia.</w:t>
      </w:r>
      <w:r w:rsidRPr="00075064">
        <w:rPr>
          <w:rFonts w:ascii="Arial" w:eastAsia="Calibri" w:hAnsi="Arial" w:cs="Arial"/>
          <w:noProof/>
          <w:color w:val="000000" w:themeColor="text1"/>
          <w:sz w:val="24"/>
          <w:szCs w:val="24"/>
          <w:lang w:val="es-ES"/>
        </w:rPr>
        <w:t xml:space="preserve"> http://dehesa.unex.es/bitstream/10662/3877/1/TDUEX_2015_Leno_Gonzalez.pdf</w:t>
      </w:r>
    </w:p>
    <w:p w14:paraId="005D0943" w14:textId="0C272F19" w:rsidR="00DF321D" w:rsidRPr="00DF321D" w:rsidRDefault="00DF321D" w:rsidP="00DF321D">
      <w:pPr>
        <w:spacing w:after="240" w:line="240" w:lineRule="auto"/>
        <w:ind w:left="709" w:hanging="709"/>
        <w:jc w:val="both"/>
        <w:rPr>
          <w:rFonts w:ascii="Arial" w:eastAsia="Times New Roman" w:hAnsi="Arial" w:cs="Arial"/>
          <w:bCs/>
          <w:sz w:val="24"/>
          <w:szCs w:val="24"/>
        </w:rPr>
      </w:pPr>
      <w:r w:rsidRPr="00DF321D">
        <w:rPr>
          <w:rFonts w:ascii="Arial" w:eastAsia="Times New Roman" w:hAnsi="Arial" w:cs="Arial"/>
          <w:bCs/>
          <w:sz w:val="24"/>
          <w:szCs w:val="24"/>
        </w:rPr>
        <w:t xml:space="preserve">Lozano, J., Castro, A., Espinosa, P., López, J., Martínez, L., Paniagua, L., Pulido, B., García, G., Morales, B., Pulido, B., Escalante, R., y López, D. (2008). </w:t>
      </w:r>
      <w:r w:rsidRPr="00DF321D">
        <w:rPr>
          <w:rFonts w:ascii="Arial" w:eastAsia="Times New Roman" w:hAnsi="Arial" w:cs="Arial"/>
          <w:bCs/>
          <w:i/>
          <w:sz w:val="24"/>
          <w:szCs w:val="24"/>
        </w:rPr>
        <w:t>Elaboración de programas de capacitación. Secretaría del Trabajo y Previsión Social.</w:t>
      </w:r>
      <w:r w:rsidRPr="00DF321D">
        <w:rPr>
          <w:rFonts w:ascii="Arial" w:eastAsia="Times New Roman" w:hAnsi="Arial" w:cs="Arial"/>
          <w:bCs/>
          <w:sz w:val="24"/>
          <w:szCs w:val="24"/>
        </w:rPr>
        <w:t xml:space="preserve"> https://www.gob.mx/cms/uploads/attachment/file/160973/Elaboracion_de_programas_de_capacitaci_n_Anexo_1_250_1.pdf</w:t>
      </w:r>
    </w:p>
    <w:p w14:paraId="2F8C0302" w14:textId="4C1B8056" w:rsidR="00DF6C84" w:rsidRDefault="00DF6C84" w:rsidP="00DF6C84">
      <w:pPr>
        <w:spacing w:line="276" w:lineRule="auto"/>
        <w:ind w:left="720" w:hanging="720"/>
        <w:jc w:val="both"/>
        <w:rPr>
          <w:rFonts w:ascii="Arial" w:eastAsia="Calibri" w:hAnsi="Arial" w:cs="Arial"/>
          <w:color w:val="000000" w:themeColor="text1"/>
          <w:sz w:val="24"/>
          <w:szCs w:val="24"/>
        </w:rPr>
      </w:pPr>
      <w:r w:rsidRPr="00DF6C84">
        <w:rPr>
          <w:rFonts w:ascii="Arial" w:eastAsia="Calibri" w:hAnsi="Arial" w:cs="Arial"/>
          <w:color w:val="000000" w:themeColor="text1"/>
          <w:sz w:val="24"/>
          <w:szCs w:val="24"/>
        </w:rPr>
        <w:t xml:space="preserve">Organización Panamericana de la Salud [OPS]. (2011). Capacitación en higiene para manipuladores de alimentos. </w:t>
      </w:r>
      <w:hyperlink r:id="rId31" w:history="1">
        <w:r w:rsidRPr="00DF6C84">
          <w:rPr>
            <w:rStyle w:val="Hipervnculo"/>
            <w:rFonts w:ascii="Arial" w:eastAsia="Calibri" w:hAnsi="Arial" w:cs="Arial"/>
            <w:color w:val="000000" w:themeColor="text1"/>
            <w:sz w:val="24"/>
            <w:szCs w:val="24"/>
            <w:u w:val="none"/>
          </w:rPr>
          <w:t>https://www.paho.org/pan/index.php?option=com_docman&amp;view=download&amp;alias=374-capacitacion-en-higiene-para-manipuladores-de-alimentos-guia-metodologica-y-practica&amp;category_slug=publications&amp;Itemid=224</w:t>
        </w:r>
      </w:hyperlink>
    </w:p>
    <w:p w14:paraId="73F9663A" w14:textId="020C611C" w:rsidR="00075064" w:rsidRPr="00075064" w:rsidRDefault="00075064" w:rsidP="00075064">
      <w:pPr>
        <w:spacing w:line="240" w:lineRule="auto"/>
        <w:ind w:left="720" w:hanging="720"/>
        <w:jc w:val="both"/>
        <w:rPr>
          <w:rFonts w:ascii="Arial" w:eastAsia="Calibri" w:hAnsi="Arial" w:cs="Arial"/>
          <w:noProof/>
          <w:color w:val="000000" w:themeColor="text1"/>
          <w:sz w:val="24"/>
          <w:szCs w:val="24"/>
          <w:lang w:val="es-ES"/>
        </w:rPr>
      </w:pPr>
      <w:r w:rsidRPr="00075064">
        <w:rPr>
          <w:rFonts w:ascii="Arial" w:eastAsia="Calibri" w:hAnsi="Arial" w:cs="Arial"/>
          <w:noProof/>
          <w:color w:val="000000" w:themeColor="text1"/>
          <w:sz w:val="24"/>
          <w:szCs w:val="24"/>
          <w:lang w:val="es-ES"/>
        </w:rPr>
        <w:t xml:space="preserve">Menéndez, K. (2018). </w:t>
      </w:r>
      <w:r w:rsidRPr="00075064">
        <w:rPr>
          <w:rFonts w:ascii="Arial" w:eastAsia="Calibri" w:hAnsi="Arial" w:cs="Arial"/>
          <w:i/>
          <w:iCs/>
          <w:noProof/>
          <w:color w:val="000000" w:themeColor="text1"/>
          <w:sz w:val="24"/>
          <w:szCs w:val="24"/>
          <w:lang w:val="es-ES"/>
        </w:rPr>
        <w:t>Condiciones Higiénicas Sanitarias del Expendio de Aliementos Preparados en el Mercado de Esmeraldas.</w:t>
      </w:r>
      <w:r w:rsidRPr="00075064">
        <w:rPr>
          <w:rFonts w:ascii="Arial" w:eastAsia="Calibri" w:hAnsi="Arial" w:cs="Arial"/>
          <w:noProof/>
          <w:color w:val="000000" w:themeColor="text1"/>
          <w:sz w:val="24"/>
          <w:szCs w:val="24"/>
          <w:lang w:val="es-ES"/>
        </w:rPr>
        <w:t xml:space="preserve"> file:///E:/ESPAM/TESIS%20CARLA/MENÉNDEZ%20MENDOZA%20KATHERINE%20MERCEDES.pdf</w:t>
      </w:r>
    </w:p>
    <w:p w14:paraId="486EC5BE" w14:textId="6709DDC2" w:rsidR="00DF321D" w:rsidRPr="00DF321D" w:rsidRDefault="00DF321D" w:rsidP="00DF321D">
      <w:pPr>
        <w:spacing w:line="276" w:lineRule="auto"/>
        <w:ind w:left="720" w:hanging="720"/>
        <w:jc w:val="both"/>
        <w:rPr>
          <w:rFonts w:ascii="Arial" w:eastAsia="Calibri" w:hAnsi="Arial" w:cs="Times New Roman"/>
          <w:noProof/>
          <w:color w:val="000000" w:themeColor="text1"/>
          <w:sz w:val="24"/>
        </w:rPr>
      </w:pPr>
      <w:r w:rsidRPr="00DF321D">
        <w:rPr>
          <w:rFonts w:ascii="Arial" w:eastAsia="Calibri" w:hAnsi="Arial" w:cs="Times New Roman"/>
          <w:noProof/>
          <w:color w:val="000000" w:themeColor="text1"/>
          <w:sz w:val="24"/>
          <w:lang w:val="es-ES"/>
        </w:rPr>
        <w:t xml:space="preserve">Moreno, I., y Velásquez, J. (2015). </w:t>
      </w:r>
      <w:r w:rsidRPr="00DF321D">
        <w:rPr>
          <w:rFonts w:ascii="Arial" w:eastAsia="Calibri" w:hAnsi="Arial" w:cs="Times New Roman"/>
          <w:i/>
          <w:iCs/>
          <w:noProof/>
          <w:color w:val="000000" w:themeColor="text1"/>
          <w:sz w:val="24"/>
        </w:rPr>
        <w:t>Socio-demographic characteristics of the population basic school primary school Colegio República Bolivariana de Venezuela.</w:t>
      </w:r>
      <w:r w:rsidRPr="00DF321D">
        <w:rPr>
          <w:rFonts w:ascii="Arial" w:eastAsia="Calibri" w:hAnsi="Arial" w:cs="Times New Roman"/>
          <w:noProof/>
          <w:color w:val="000000" w:themeColor="text1"/>
          <w:sz w:val="24"/>
        </w:rPr>
        <w:t xml:space="preserve"> </w:t>
      </w:r>
      <w:hyperlink r:id="rId32" w:history="1">
        <w:r w:rsidRPr="00DF321D">
          <w:rPr>
            <w:rFonts w:ascii="Arial" w:eastAsia="Calibri" w:hAnsi="Arial" w:cs="Times New Roman"/>
            <w:noProof/>
            <w:sz w:val="24"/>
          </w:rPr>
          <w:t>https://repository.ucatolica.edu.co/bitstream/10983/2884/13/Art%C3%ADculo.pdf</w:t>
        </w:r>
      </w:hyperlink>
    </w:p>
    <w:p w14:paraId="3C59C136" w14:textId="72A0AB14" w:rsidR="00DF6C84" w:rsidRPr="00DF6C84" w:rsidRDefault="00DF6C84" w:rsidP="00DF6C84">
      <w:pPr>
        <w:spacing w:line="240" w:lineRule="auto"/>
        <w:ind w:left="709" w:hanging="709"/>
        <w:jc w:val="both"/>
        <w:rPr>
          <w:rFonts w:ascii="Arial" w:eastAsia="Calibri" w:hAnsi="Arial" w:cs="Arial"/>
          <w:sz w:val="24"/>
          <w:szCs w:val="24"/>
        </w:rPr>
      </w:pPr>
      <w:r w:rsidRPr="00DF6C84">
        <w:rPr>
          <w:rFonts w:ascii="Arial" w:eastAsia="Calibri" w:hAnsi="Arial" w:cs="Arial"/>
          <w:sz w:val="24"/>
          <w:szCs w:val="24"/>
        </w:rPr>
        <w:t xml:space="preserve">Pighi, P. (2020). Cuarentena en Perú: 5 factores que explican por qué las medidas de confinamiento no impiden que sea el segundo país de América Latina con más casos de covid-19. </w:t>
      </w:r>
      <w:hyperlink r:id="rId33" w:history="1">
        <w:r w:rsidRPr="00DF6C84">
          <w:rPr>
            <w:rFonts w:ascii="Arial" w:eastAsia="Calibri" w:hAnsi="Arial" w:cs="Arial"/>
            <w:sz w:val="24"/>
            <w:szCs w:val="24"/>
          </w:rPr>
          <w:t>https://www.bbc.com/mundo/noticias-america-latina-52748764</w:t>
        </w:r>
      </w:hyperlink>
    </w:p>
    <w:p w14:paraId="3356F73C" w14:textId="22C131F3" w:rsidR="00DF6C84" w:rsidRDefault="00DF6C84" w:rsidP="00DF6C84">
      <w:pPr>
        <w:pStyle w:val="Bibliografa"/>
        <w:spacing w:line="240" w:lineRule="auto"/>
        <w:ind w:left="720" w:hanging="720"/>
        <w:jc w:val="both"/>
        <w:rPr>
          <w:rFonts w:ascii="Arial" w:hAnsi="Arial" w:cs="Arial"/>
          <w:noProof/>
          <w:color w:val="000000" w:themeColor="text1"/>
          <w:sz w:val="24"/>
          <w:szCs w:val="24"/>
          <w:lang w:val="es-ES"/>
        </w:rPr>
      </w:pPr>
      <w:r w:rsidRPr="00DF6C84">
        <w:rPr>
          <w:rFonts w:ascii="Arial" w:hAnsi="Arial" w:cs="Arial"/>
          <w:noProof/>
          <w:sz w:val="24"/>
          <w:szCs w:val="24"/>
          <w:lang w:val="es-ES"/>
        </w:rPr>
        <w:t>Pérez, J. (2017). Normas de bioseguridad básicas en los servicios de preparacio</w:t>
      </w:r>
      <w:r w:rsidRPr="00DF6C84">
        <w:rPr>
          <w:rFonts w:ascii="Arial" w:hAnsi="Arial" w:cs="Arial"/>
          <w:noProof/>
          <w:color w:val="000000" w:themeColor="text1"/>
          <w:sz w:val="24"/>
          <w:szCs w:val="24"/>
          <w:lang w:val="es-ES"/>
        </w:rPr>
        <w:t xml:space="preserve">n de alimentos en los vendedores del mercado central de Tulcan. </w:t>
      </w:r>
      <w:hyperlink r:id="rId34" w:history="1">
        <w:r w:rsidRPr="00DF6C84">
          <w:rPr>
            <w:rStyle w:val="Hipervnculo"/>
            <w:rFonts w:ascii="Arial" w:hAnsi="Arial" w:cs="Arial"/>
            <w:noProof/>
            <w:color w:val="000000" w:themeColor="text1"/>
            <w:sz w:val="24"/>
            <w:szCs w:val="24"/>
            <w:u w:val="none"/>
            <w:lang w:val="es-ES"/>
          </w:rPr>
          <w:t>file:///C:/Users/Usuario/Downloads/TUTENF034-2017.pdf</w:t>
        </w:r>
      </w:hyperlink>
    </w:p>
    <w:p w14:paraId="68A5EEB9" w14:textId="13C6E309" w:rsidR="00BD00ED" w:rsidRPr="00BD00ED" w:rsidRDefault="00BD00ED" w:rsidP="00BD00ED">
      <w:pPr>
        <w:spacing w:line="240" w:lineRule="auto"/>
        <w:ind w:left="709" w:hanging="709"/>
        <w:jc w:val="both"/>
        <w:rPr>
          <w:rFonts w:ascii="Arial" w:eastAsia="Calibri" w:hAnsi="Arial" w:cs="Arial"/>
          <w:sz w:val="24"/>
          <w:szCs w:val="24"/>
        </w:rPr>
      </w:pPr>
      <w:r w:rsidRPr="00BD00ED">
        <w:rPr>
          <w:rFonts w:ascii="Arial" w:eastAsia="Calibri" w:hAnsi="Arial" w:cs="Arial"/>
          <w:sz w:val="24"/>
          <w:szCs w:val="24"/>
        </w:rPr>
        <w:t xml:space="preserve">RTVE. (2020). </w:t>
      </w:r>
      <w:r w:rsidRPr="00BD00ED">
        <w:rPr>
          <w:rFonts w:ascii="Arial" w:eastAsia="Calibri" w:hAnsi="Arial" w:cs="Arial"/>
          <w:i/>
          <w:sz w:val="24"/>
          <w:szCs w:val="24"/>
        </w:rPr>
        <w:t>Un brote de coronavirus en el principal mercado de Pekín dispara las alarmas en China</w:t>
      </w:r>
      <w:r w:rsidRPr="00BD00ED">
        <w:rPr>
          <w:rFonts w:ascii="Arial" w:eastAsia="Calibri" w:hAnsi="Arial" w:cs="Arial"/>
          <w:sz w:val="24"/>
          <w:szCs w:val="24"/>
        </w:rPr>
        <w:t xml:space="preserve">. </w:t>
      </w:r>
      <w:hyperlink r:id="rId35" w:history="1">
        <w:r w:rsidRPr="00BD00ED">
          <w:rPr>
            <w:rFonts w:ascii="Arial" w:eastAsia="Calibri" w:hAnsi="Arial" w:cs="Arial"/>
            <w:sz w:val="24"/>
            <w:szCs w:val="24"/>
          </w:rPr>
          <w:t>https://www.rtve.es/noticias/20200613/brote-coronavirus-principal-mercado-pekin-dispara-alarmas-china/2017520.shtml</w:t>
        </w:r>
      </w:hyperlink>
    </w:p>
    <w:p w14:paraId="02367E77" w14:textId="5D167FEE" w:rsidR="00DF6C84" w:rsidRPr="00DF6C84" w:rsidRDefault="00DF6C84" w:rsidP="00DF6C84">
      <w:pPr>
        <w:spacing w:line="240" w:lineRule="auto"/>
        <w:ind w:left="709" w:hanging="709"/>
        <w:jc w:val="both"/>
        <w:rPr>
          <w:rFonts w:ascii="Arial" w:eastAsia="Calibri" w:hAnsi="Arial" w:cs="Arial"/>
          <w:sz w:val="24"/>
          <w:szCs w:val="24"/>
        </w:rPr>
      </w:pPr>
      <w:r w:rsidRPr="00DF6C84">
        <w:rPr>
          <w:rFonts w:ascii="Arial" w:eastAsia="Calibri" w:hAnsi="Arial" w:cs="Arial"/>
          <w:sz w:val="24"/>
          <w:szCs w:val="24"/>
        </w:rPr>
        <w:lastRenderedPageBreak/>
        <w:t xml:space="preserve">Sputnik. (2020). Gobierno haya más de 50% de comerciantes infectados por covid-19 en mercados de Lima. </w:t>
      </w:r>
      <w:hyperlink r:id="rId36" w:history="1">
        <w:r w:rsidRPr="00DF6C84">
          <w:rPr>
            <w:rFonts w:ascii="Arial" w:eastAsia="Calibri" w:hAnsi="Arial" w:cs="Arial"/>
            <w:sz w:val="24"/>
            <w:szCs w:val="24"/>
          </w:rPr>
          <w:t>https://www.elpais.cr/2020/05/13/gobierno-halla-mas-de-50-de-comerciantes-infectados-por-covid-19-en-mercados-de-lima/</w:t>
        </w:r>
      </w:hyperlink>
    </w:p>
    <w:p w14:paraId="645D99C8" w14:textId="76BF197F" w:rsidR="00DF6C84" w:rsidRPr="00DF6C84" w:rsidRDefault="00DF6C84" w:rsidP="00DF6C84">
      <w:pPr>
        <w:spacing w:line="240" w:lineRule="auto"/>
        <w:ind w:left="720" w:hanging="720"/>
        <w:jc w:val="both"/>
        <w:rPr>
          <w:rFonts w:ascii="Arial" w:eastAsia="Calibri" w:hAnsi="Arial" w:cs="Times New Roman"/>
          <w:noProof/>
          <w:color w:val="000000" w:themeColor="text1"/>
          <w:sz w:val="24"/>
          <w:lang w:val="es-ES"/>
        </w:rPr>
      </w:pPr>
      <w:r w:rsidRPr="00DF6C84">
        <w:rPr>
          <w:rFonts w:ascii="Arial" w:eastAsia="Calibri" w:hAnsi="Arial" w:cs="Times New Roman"/>
          <w:noProof/>
          <w:color w:val="000000" w:themeColor="text1"/>
          <w:sz w:val="24"/>
          <w:lang w:val="es-ES"/>
        </w:rPr>
        <w:t xml:space="preserve">Villa, C. (2020). </w:t>
      </w:r>
      <w:r w:rsidRPr="00DF6C84">
        <w:rPr>
          <w:rFonts w:ascii="Arial" w:eastAsia="Calibri" w:hAnsi="Arial" w:cs="Times New Roman"/>
          <w:i/>
          <w:iCs/>
          <w:noProof/>
          <w:color w:val="000000" w:themeColor="text1"/>
          <w:sz w:val="24"/>
          <w:lang w:val="es-ES"/>
        </w:rPr>
        <w:t>Normas de bioseguridad de los trabajadores para prevenir enfermedades.</w:t>
      </w:r>
      <w:r w:rsidRPr="00DF6C84">
        <w:rPr>
          <w:rFonts w:ascii="Arial" w:eastAsia="Calibri" w:hAnsi="Arial" w:cs="Times New Roman"/>
          <w:noProof/>
          <w:color w:val="000000" w:themeColor="text1"/>
          <w:sz w:val="24"/>
          <w:lang w:val="es-ES"/>
        </w:rPr>
        <w:t>https://dspace.uniandes.edu.ec/bitstream/123456789/12564/1/UTPIENF030-2020.pdf</w:t>
      </w:r>
    </w:p>
    <w:p w14:paraId="1955D46C" w14:textId="77777777" w:rsidR="00DF6C84" w:rsidRPr="00DF6C84" w:rsidRDefault="00DF6C84" w:rsidP="00DF6C84">
      <w:pPr>
        <w:spacing w:line="240" w:lineRule="auto"/>
        <w:ind w:left="720" w:hanging="720"/>
        <w:jc w:val="both"/>
        <w:rPr>
          <w:rFonts w:ascii="Arial" w:eastAsia="Calibri" w:hAnsi="Arial" w:cs="Times New Roman"/>
          <w:noProof/>
          <w:color w:val="000000" w:themeColor="text1"/>
          <w:sz w:val="24"/>
          <w:lang w:val="es-ES"/>
        </w:rPr>
      </w:pPr>
      <w:r w:rsidRPr="00DF6C84">
        <w:rPr>
          <w:rFonts w:ascii="Arial" w:eastAsia="Calibri" w:hAnsi="Arial" w:cs="Times New Roman"/>
          <w:noProof/>
          <w:color w:val="000000" w:themeColor="text1"/>
          <w:sz w:val="24"/>
          <w:lang w:val="es-ES"/>
        </w:rPr>
        <w:t xml:space="preserve">Vladimir , E. (2011). </w:t>
      </w:r>
      <w:r w:rsidRPr="00DF6C84">
        <w:rPr>
          <w:rFonts w:ascii="Arial" w:eastAsia="Calibri" w:hAnsi="Arial" w:cs="Times New Roman"/>
          <w:i/>
          <w:iCs/>
          <w:noProof/>
          <w:color w:val="000000" w:themeColor="text1"/>
          <w:sz w:val="24"/>
          <w:lang w:val="es-ES"/>
        </w:rPr>
        <w:t>Plan de manejo integral de residuos sólidos del Mercado Central del Cantón Esmeralda .</w:t>
      </w:r>
      <w:r w:rsidRPr="00DF6C84">
        <w:rPr>
          <w:rFonts w:ascii="Arial" w:eastAsia="Calibri" w:hAnsi="Arial" w:cs="Times New Roman"/>
          <w:noProof/>
          <w:color w:val="000000" w:themeColor="text1"/>
          <w:sz w:val="24"/>
          <w:lang w:val="es-ES"/>
        </w:rPr>
        <w:t xml:space="preserve"> http://dspace.espoch.edu.ec/bitstream/123456789/2008/1/236T0061.pdf</w:t>
      </w:r>
    </w:p>
    <w:p w14:paraId="02C68DF6" w14:textId="77777777" w:rsidR="001D72FA" w:rsidRDefault="001D72FA" w:rsidP="001D72FA">
      <w:pPr>
        <w:rPr>
          <w:rFonts w:cs="Arial"/>
        </w:rPr>
      </w:pPr>
    </w:p>
    <w:p w14:paraId="1640D5E9" w14:textId="77777777" w:rsidR="001D72FA" w:rsidRDefault="001D72FA" w:rsidP="001D72FA">
      <w:pPr>
        <w:rPr>
          <w:rFonts w:cs="Arial"/>
        </w:rPr>
      </w:pPr>
    </w:p>
    <w:p w14:paraId="107AB635" w14:textId="77777777" w:rsidR="000C7F6B" w:rsidRPr="000C7F6B" w:rsidRDefault="000C7F6B" w:rsidP="000C7F6B">
      <w:pPr>
        <w:spacing w:line="360" w:lineRule="auto"/>
        <w:jc w:val="both"/>
        <w:rPr>
          <w:rFonts w:ascii="Arial" w:eastAsia="Calibri" w:hAnsi="Arial" w:cs="Arial"/>
          <w:bCs/>
          <w:color w:val="000000" w:themeColor="text1"/>
          <w:sz w:val="32"/>
          <w:szCs w:val="32"/>
        </w:rPr>
      </w:pPr>
    </w:p>
    <w:p w14:paraId="41CE0921" w14:textId="77777777" w:rsidR="00D46ACA" w:rsidRPr="000C7F6B" w:rsidRDefault="00D46ACA" w:rsidP="000C7F6B">
      <w:pPr>
        <w:spacing w:line="360" w:lineRule="auto"/>
        <w:jc w:val="both"/>
        <w:rPr>
          <w:rFonts w:ascii="Arial" w:eastAsia="Times New Roman" w:hAnsi="Arial" w:cs="Arial"/>
          <w:bCs/>
          <w:sz w:val="28"/>
          <w:szCs w:val="28"/>
        </w:rPr>
      </w:pPr>
    </w:p>
    <w:p w14:paraId="7BC858DA" w14:textId="77777777" w:rsidR="00C2532E" w:rsidRPr="000C7F6B" w:rsidRDefault="00C2532E" w:rsidP="000C7F6B">
      <w:pPr>
        <w:spacing w:before="240" w:after="240" w:line="360" w:lineRule="auto"/>
        <w:jc w:val="both"/>
        <w:rPr>
          <w:rFonts w:ascii="Arial" w:eastAsia="Times New Roman" w:hAnsi="Arial" w:cs="Arial"/>
          <w:bCs/>
          <w:sz w:val="28"/>
          <w:szCs w:val="28"/>
        </w:rPr>
      </w:pPr>
    </w:p>
    <w:p w14:paraId="143D0661" w14:textId="042A83D2" w:rsidR="00D94E71" w:rsidRPr="00876FE4" w:rsidRDefault="00D94E71" w:rsidP="00876FE4">
      <w:pPr>
        <w:spacing w:line="360" w:lineRule="auto"/>
        <w:jc w:val="both"/>
        <w:rPr>
          <w:rFonts w:ascii="Arial" w:hAnsi="Arial" w:cs="Arial"/>
          <w:sz w:val="24"/>
          <w:szCs w:val="24"/>
        </w:rPr>
      </w:pPr>
    </w:p>
    <w:p w14:paraId="6E0FB4D3" w14:textId="6B9902ED" w:rsidR="00D94E71" w:rsidRPr="00876FE4" w:rsidRDefault="00D94E71" w:rsidP="00876FE4">
      <w:pPr>
        <w:spacing w:line="360" w:lineRule="auto"/>
        <w:jc w:val="both"/>
        <w:rPr>
          <w:rFonts w:ascii="Arial" w:hAnsi="Arial" w:cs="Arial"/>
          <w:sz w:val="24"/>
          <w:szCs w:val="24"/>
        </w:rPr>
      </w:pPr>
    </w:p>
    <w:sectPr w:rsidR="00D94E71" w:rsidRPr="00876FE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7FF329" w14:textId="77777777" w:rsidR="00BF7502" w:rsidRDefault="00BF7502" w:rsidP="00500198">
      <w:pPr>
        <w:spacing w:after="0" w:line="240" w:lineRule="auto"/>
      </w:pPr>
      <w:r>
        <w:separator/>
      </w:r>
    </w:p>
  </w:endnote>
  <w:endnote w:type="continuationSeparator" w:id="0">
    <w:p w14:paraId="60CA537A" w14:textId="77777777" w:rsidR="00BF7502" w:rsidRDefault="00BF7502" w:rsidP="00500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8C7E5F" w14:textId="77777777" w:rsidR="00BF7502" w:rsidRDefault="00BF7502" w:rsidP="00500198">
      <w:pPr>
        <w:spacing w:after="0" w:line="240" w:lineRule="auto"/>
      </w:pPr>
      <w:r>
        <w:separator/>
      </w:r>
    </w:p>
  </w:footnote>
  <w:footnote w:type="continuationSeparator" w:id="0">
    <w:p w14:paraId="07E17B8D" w14:textId="77777777" w:rsidR="00BF7502" w:rsidRDefault="00BF7502" w:rsidP="005001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C35BAF"/>
    <w:multiLevelType w:val="hybridMultilevel"/>
    <w:tmpl w:val="04A80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26B9424B"/>
    <w:multiLevelType w:val="multilevel"/>
    <w:tmpl w:val="F4EE002C"/>
    <w:lvl w:ilvl="0">
      <w:start w:val="1"/>
      <w:numFmt w:val="decimal"/>
      <w:pStyle w:val="Ttulo1"/>
      <w:lvlText w:val="%1"/>
      <w:lvlJc w:val="left"/>
      <w:pPr>
        <w:ind w:left="432" w:hanging="432"/>
      </w:pPr>
      <w:rPr>
        <w:color w:val="FFFFFF" w:themeColor="background1"/>
      </w:rPr>
    </w:lvl>
    <w:lvl w:ilvl="1">
      <w:start w:val="1"/>
      <w:numFmt w:val="decimal"/>
      <w:pStyle w:val="Ttulo2"/>
      <w:lvlText w:val="%1.%2"/>
      <w:lvlJc w:val="left"/>
      <w:pPr>
        <w:ind w:left="718" w:hanging="576"/>
      </w:pPr>
    </w:lvl>
    <w:lvl w:ilvl="2">
      <w:start w:val="1"/>
      <w:numFmt w:val="decimal"/>
      <w:pStyle w:val="Ttulo3"/>
      <w:lvlText w:val="%1.%2.%3"/>
      <w:lvlJc w:val="left"/>
      <w:pPr>
        <w:ind w:left="720" w:hanging="720"/>
      </w:pPr>
      <w:rPr>
        <w:b/>
        <w:sz w:val="26"/>
        <w:szCs w:val="26"/>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nsid w:val="2E787646"/>
    <w:multiLevelType w:val="hybridMultilevel"/>
    <w:tmpl w:val="3B98A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523A426C"/>
    <w:multiLevelType w:val="multilevel"/>
    <w:tmpl w:val="EAD6A140"/>
    <w:lvl w:ilvl="0">
      <w:start w:val="5"/>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4">
    <w:nsid w:val="5728647D"/>
    <w:multiLevelType w:val="hybridMultilevel"/>
    <w:tmpl w:val="BD505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5E74509F"/>
    <w:multiLevelType w:val="hybridMultilevel"/>
    <w:tmpl w:val="6D2CC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6A754812"/>
    <w:multiLevelType w:val="hybridMultilevel"/>
    <w:tmpl w:val="2DBA7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6AC8551A"/>
    <w:multiLevelType w:val="hybridMultilevel"/>
    <w:tmpl w:val="21E81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78814C4C"/>
    <w:multiLevelType w:val="multilevel"/>
    <w:tmpl w:val="0630B2C6"/>
    <w:lvl w:ilvl="0">
      <w:start w:val="4"/>
      <w:numFmt w:val="decimal"/>
      <w:lvlText w:val="%1."/>
      <w:lvlJc w:val="left"/>
      <w:pPr>
        <w:ind w:left="1623" w:hanging="630"/>
      </w:pPr>
      <w:rPr>
        <w:color w:val="FFFFFF" w:themeColor="background1"/>
      </w:rPr>
    </w:lvl>
    <w:lvl w:ilvl="1">
      <w:start w:val="3"/>
      <w:numFmt w:val="decimal"/>
      <w:lvlText w:val="%1.%2."/>
      <w:lvlJc w:val="left"/>
      <w:pPr>
        <w:ind w:left="1713" w:hanging="720"/>
      </w:pPr>
    </w:lvl>
    <w:lvl w:ilvl="2">
      <w:start w:val="2"/>
      <w:numFmt w:val="decimal"/>
      <w:lvlText w:val="%1.%2.%3."/>
      <w:lvlJc w:val="left"/>
      <w:pPr>
        <w:ind w:left="1713" w:hanging="720"/>
      </w:pPr>
    </w:lvl>
    <w:lvl w:ilvl="3">
      <w:start w:val="1"/>
      <w:numFmt w:val="decimal"/>
      <w:lvlText w:val="%1.%2.%3.%4."/>
      <w:lvlJc w:val="left"/>
      <w:pPr>
        <w:ind w:left="2073" w:hanging="1080"/>
      </w:pPr>
    </w:lvl>
    <w:lvl w:ilvl="4">
      <w:start w:val="1"/>
      <w:numFmt w:val="decimal"/>
      <w:lvlText w:val="%1.%2.%3.%4.%5."/>
      <w:lvlJc w:val="left"/>
      <w:pPr>
        <w:ind w:left="2433" w:hanging="1440"/>
      </w:pPr>
    </w:lvl>
    <w:lvl w:ilvl="5">
      <w:start w:val="1"/>
      <w:numFmt w:val="decimal"/>
      <w:lvlText w:val="%1.%2.%3.%4.%5.%6."/>
      <w:lvlJc w:val="left"/>
      <w:pPr>
        <w:ind w:left="2433" w:hanging="1440"/>
      </w:pPr>
    </w:lvl>
    <w:lvl w:ilvl="6">
      <w:start w:val="1"/>
      <w:numFmt w:val="decimal"/>
      <w:lvlText w:val="%1.%2.%3.%4.%5.%6.%7."/>
      <w:lvlJc w:val="left"/>
      <w:pPr>
        <w:ind w:left="2793" w:hanging="1800"/>
      </w:pPr>
    </w:lvl>
    <w:lvl w:ilvl="7">
      <w:start w:val="1"/>
      <w:numFmt w:val="decimal"/>
      <w:lvlText w:val="%1.%2.%3.%4.%5.%6.%7.%8."/>
      <w:lvlJc w:val="left"/>
      <w:pPr>
        <w:ind w:left="2793" w:hanging="1800"/>
      </w:pPr>
    </w:lvl>
    <w:lvl w:ilvl="8">
      <w:start w:val="1"/>
      <w:numFmt w:val="decimal"/>
      <w:lvlText w:val="%1.%2.%3.%4.%5.%6.%7.%8.%9."/>
      <w:lvlJc w:val="left"/>
      <w:pPr>
        <w:ind w:left="3153" w:hanging="21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4"/>
  </w:num>
  <w:num w:numId="4">
    <w:abstractNumId w:val="6"/>
  </w:num>
  <w:num w:numId="5">
    <w:abstractNumId w:val="5"/>
  </w:num>
  <w:num w:numId="6">
    <w:abstractNumId w:val="8"/>
    <w:lvlOverride w:ilvl="0">
      <w:startOverride w:val="4"/>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5E8"/>
    <w:rsid w:val="00043583"/>
    <w:rsid w:val="00075064"/>
    <w:rsid w:val="000C7F6B"/>
    <w:rsid w:val="001960CD"/>
    <w:rsid w:val="001D72FA"/>
    <w:rsid w:val="002E75E8"/>
    <w:rsid w:val="003C6AA2"/>
    <w:rsid w:val="003E3C96"/>
    <w:rsid w:val="00466029"/>
    <w:rsid w:val="0049026D"/>
    <w:rsid w:val="004948CE"/>
    <w:rsid w:val="00500198"/>
    <w:rsid w:val="00552D0D"/>
    <w:rsid w:val="005738C8"/>
    <w:rsid w:val="006136FE"/>
    <w:rsid w:val="00696146"/>
    <w:rsid w:val="00754429"/>
    <w:rsid w:val="00816AF9"/>
    <w:rsid w:val="00876FE4"/>
    <w:rsid w:val="009C4475"/>
    <w:rsid w:val="00A75424"/>
    <w:rsid w:val="00A93866"/>
    <w:rsid w:val="00AC6A29"/>
    <w:rsid w:val="00B100C1"/>
    <w:rsid w:val="00B12D4C"/>
    <w:rsid w:val="00B306AD"/>
    <w:rsid w:val="00B33F8B"/>
    <w:rsid w:val="00BD00ED"/>
    <w:rsid w:val="00BD6362"/>
    <w:rsid w:val="00BF6558"/>
    <w:rsid w:val="00BF7502"/>
    <w:rsid w:val="00C2532E"/>
    <w:rsid w:val="00C7611B"/>
    <w:rsid w:val="00CB76AF"/>
    <w:rsid w:val="00D46ACA"/>
    <w:rsid w:val="00D94E71"/>
    <w:rsid w:val="00DA2920"/>
    <w:rsid w:val="00DF321D"/>
    <w:rsid w:val="00DF6C84"/>
    <w:rsid w:val="00E523DF"/>
    <w:rsid w:val="00EC6EA7"/>
    <w:rsid w:val="00F11F2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7EFB0"/>
  <w15:chartTrackingRefBased/>
  <w15:docId w15:val="{9C75654E-8E05-4933-B9F0-1F34F0710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2532E"/>
    <w:pPr>
      <w:keepNext/>
      <w:keepLines/>
      <w:numPr>
        <w:numId w:val="1"/>
      </w:numPr>
      <w:spacing w:before="240" w:after="240" w:line="360" w:lineRule="auto"/>
      <w:jc w:val="center"/>
      <w:outlineLvl w:val="0"/>
    </w:pPr>
    <w:rPr>
      <w:rFonts w:ascii="Arial" w:eastAsiaTheme="majorEastAsia" w:hAnsi="Arial" w:cstheme="majorBidi"/>
      <w:b/>
      <w:color w:val="000000" w:themeColor="text1"/>
      <w:sz w:val="32"/>
      <w:szCs w:val="32"/>
    </w:rPr>
  </w:style>
  <w:style w:type="paragraph" w:styleId="Ttulo2">
    <w:name w:val="heading 2"/>
    <w:basedOn w:val="Normal"/>
    <w:next w:val="Normal"/>
    <w:link w:val="Ttulo2Car"/>
    <w:uiPriority w:val="9"/>
    <w:unhideWhenUsed/>
    <w:qFormat/>
    <w:rsid w:val="00C2532E"/>
    <w:pPr>
      <w:keepNext/>
      <w:keepLines/>
      <w:numPr>
        <w:ilvl w:val="1"/>
        <w:numId w:val="1"/>
      </w:numPr>
      <w:spacing w:before="120" w:after="120" w:line="360" w:lineRule="auto"/>
      <w:ind w:left="576"/>
      <w:jc w:val="both"/>
      <w:outlineLvl w:val="1"/>
    </w:pPr>
    <w:rPr>
      <w:rFonts w:ascii="Arial" w:eastAsiaTheme="majorEastAsia" w:hAnsi="Arial" w:cstheme="majorBidi"/>
      <w:b/>
      <w:color w:val="000000" w:themeColor="text1"/>
      <w:sz w:val="28"/>
      <w:szCs w:val="26"/>
    </w:rPr>
  </w:style>
  <w:style w:type="paragraph" w:styleId="Ttulo3">
    <w:name w:val="heading 3"/>
    <w:basedOn w:val="Normal"/>
    <w:next w:val="Normal"/>
    <w:link w:val="Ttulo3Car"/>
    <w:uiPriority w:val="9"/>
    <w:semiHidden/>
    <w:unhideWhenUsed/>
    <w:qFormat/>
    <w:rsid w:val="00C2532E"/>
    <w:pPr>
      <w:keepNext/>
      <w:keepLines/>
      <w:numPr>
        <w:ilvl w:val="2"/>
        <w:numId w:val="1"/>
      </w:numPr>
      <w:spacing w:before="120" w:after="120" w:line="360" w:lineRule="auto"/>
      <w:jc w:val="both"/>
      <w:outlineLvl w:val="2"/>
    </w:pPr>
    <w:rPr>
      <w:rFonts w:ascii="Arial" w:eastAsiaTheme="majorEastAsia" w:hAnsi="Arial" w:cstheme="majorBidi"/>
      <w:b/>
      <w:color w:val="000000" w:themeColor="text1"/>
      <w:sz w:val="26"/>
      <w:szCs w:val="24"/>
    </w:rPr>
  </w:style>
  <w:style w:type="paragraph" w:styleId="Ttulo4">
    <w:name w:val="heading 4"/>
    <w:basedOn w:val="Normal"/>
    <w:next w:val="Normal"/>
    <w:link w:val="Ttulo4Car"/>
    <w:uiPriority w:val="9"/>
    <w:semiHidden/>
    <w:unhideWhenUsed/>
    <w:qFormat/>
    <w:rsid w:val="00C2532E"/>
    <w:pPr>
      <w:keepNext/>
      <w:keepLines/>
      <w:numPr>
        <w:ilvl w:val="3"/>
        <w:numId w:val="1"/>
      </w:numPr>
      <w:spacing w:before="120" w:after="120" w:line="360" w:lineRule="auto"/>
      <w:jc w:val="both"/>
      <w:outlineLvl w:val="3"/>
    </w:pPr>
    <w:rPr>
      <w:rFonts w:ascii="Arial" w:eastAsiaTheme="majorEastAsia" w:hAnsi="Arial" w:cstheme="majorBidi"/>
      <w:b/>
      <w:iCs/>
      <w:color w:val="000000" w:themeColor="text1"/>
      <w:sz w:val="24"/>
    </w:rPr>
  </w:style>
  <w:style w:type="paragraph" w:styleId="Ttulo5">
    <w:name w:val="heading 5"/>
    <w:basedOn w:val="Normal"/>
    <w:next w:val="Normal"/>
    <w:link w:val="Ttulo5Car"/>
    <w:uiPriority w:val="9"/>
    <w:semiHidden/>
    <w:unhideWhenUsed/>
    <w:qFormat/>
    <w:rsid w:val="00C2532E"/>
    <w:pPr>
      <w:keepNext/>
      <w:keepLines/>
      <w:numPr>
        <w:ilvl w:val="4"/>
        <w:numId w:val="1"/>
      </w:numPr>
      <w:spacing w:before="40" w:after="0" w:line="360" w:lineRule="auto"/>
      <w:jc w:val="both"/>
      <w:outlineLvl w:val="4"/>
    </w:pPr>
    <w:rPr>
      <w:rFonts w:asciiTheme="majorHAnsi" w:eastAsiaTheme="majorEastAsia" w:hAnsiTheme="majorHAnsi" w:cstheme="majorBidi"/>
      <w:color w:val="2F5496" w:themeColor="accent1" w:themeShade="BF"/>
      <w:sz w:val="24"/>
    </w:rPr>
  </w:style>
  <w:style w:type="paragraph" w:styleId="Ttulo6">
    <w:name w:val="heading 6"/>
    <w:basedOn w:val="Normal"/>
    <w:next w:val="Normal"/>
    <w:link w:val="Ttulo6Car"/>
    <w:uiPriority w:val="9"/>
    <w:semiHidden/>
    <w:unhideWhenUsed/>
    <w:qFormat/>
    <w:rsid w:val="00C2532E"/>
    <w:pPr>
      <w:keepNext/>
      <w:keepLines/>
      <w:numPr>
        <w:ilvl w:val="5"/>
        <w:numId w:val="1"/>
      </w:numPr>
      <w:spacing w:before="40" w:after="0" w:line="360" w:lineRule="auto"/>
      <w:jc w:val="both"/>
      <w:outlineLvl w:val="5"/>
    </w:pPr>
    <w:rPr>
      <w:rFonts w:asciiTheme="majorHAnsi" w:eastAsiaTheme="majorEastAsia" w:hAnsiTheme="majorHAnsi" w:cstheme="majorBidi"/>
      <w:color w:val="1F3763" w:themeColor="accent1" w:themeShade="7F"/>
      <w:sz w:val="24"/>
    </w:rPr>
  </w:style>
  <w:style w:type="paragraph" w:styleId="Ttulo7">
    <w:name w:val="heading 7"/>
    <w:basedOn w:val="Normal"/>
    <w:next w:val="Normal"/>
    <w:link w:val="Ttulo7Car"/>
    <w:uiPriority w:val="9"/>
    <w:semiHidden/>
    <w:unhideWhenUsed/>
    <w:qFormat/>
    <w:rsid w:val="00C2532E"/>
    <w:pPr>
      <w:keepNext/>
      <w:keepLines/>
      <w:numPr>
        <w:ilvl w:val="6"/>
        <w:numId w:val="1"/>
      </w:numPr>
      <w:spacing w:before="40" w:after="0" w:line="360" w:lineRule="auto"/>
      <w:jc w:val="both"/>
      <w:outlineLvl w:val="6"/>
    </w:pPr>
    <w:rPr>
      <w:rFonts w:asciiTheme="majorHAnsi" w:eastAsiaTheme="majorEastAsia" w:hAnsiTheme="majorHAnsi" w:cstheme="majorBidi"/>
      <w:i/>
      <w:iCs/>
      <w:color w:val="1F3763" w:themeColor="accent1" w:themeShade="7F"/>
      <w:sz w:val="24"/>
    </w:rPr>
  </w:style>
  <w:style w:type="paragraph" w:styleId="Ttulo8">
    <w:name w:val="heading 8"/>
    <w:basedOn w:val="Normal"/>
    <w:next w:val="Normal"/>
    <w:link w:val="Ttulo8Car"/>
    <w:uiPriority w:val="9"/>
    <w:semiHidden/>
    <w:unhideWhenUsed/>
    <w:qFormat/>
    <w:rsid w:val="00C2532E"/>
    <w:pPr>
      <w:keepNext/>
      <w:keepLines/>
      <w:numPr>
        <w:ilvl w:val="7"/>
        <w:numId w:val="1"/>
      </w:numPr>
      <w:spacing w:before="40" w:after="0" w:line="360" w:lineRule="auto"/>
      <w:jc w:val="both"/>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C2532E"/>
    <w:pPr>
      <w:keepNext/>
      <w:keepLines/>
      <w:numPr>
        <w:ilvl w:val="8"/>
        <w:numId w:val="1"/>
      </w:numPr>
      <w:spacing w:before="40" w:after="0" w:line="360"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2532E"/>
    <w:rPr>
      <w:rFonts w:ascii="Arial" w:eastAsiaTheme="majorEastAsia" w:hAnsi="Arial" w:cstheme="majorBidi"/>
      <w:b/>
      <w:color w:val="000000" w:themeColor="text1"/>
      <w:sz w:val="32"/>
      <w:szCs w:val="32"/>
    </w:rPr>
  </w:style>
  <w:style w:type="character" w:customStyle="1" w:styleId="Ttulo2Car">
    <w:name w:val="Título 2 Car"/>
    <w:basedOn w:val="Fuentedeprrafopredeter"/>
    <w:link w:val="Ttulo2"/>
    <w:uiPriority w:val="9"/>
    <w:rsid w:val="00C2532E"/>
    <w:rPr>
      <w:rFonts w:ascii="Arial" w:eastAsiaTheme="majorEastAsia" w:hAnsi="Arial" w:cstheme="majorBidi"/>
      <w:b/>
      <w:color w:val="000000" w:themeColor="text1"/>
      <w:sz w:val="28"/>
      <w:szCs w:val="26"/>
    </w:rPr>
  </w:style>
  <w:style w:type="character" w:customStyle="1" w:styleId="Ttulo3Car">
    <w:name w:val="Título 3 Car"/>
    <w:basedOn w:val="Fuentedeprrafopredeter"/>
    <w:link w:val="Ttulo3"/>
    <w:uiPriority w:val="9"/>
    <w:semiHidden/>
    <w:rsid w:val="00C2532E"/>
    <w:rPr>
      <w:rFonts w:ascii="Arial" w:eastAsiaTheme="majorEastAsia" w:hAnsi="Arial" w:cstheme="majorBidi"/>
      <w:b/>
      <w:color w:val="000000" w:themeColor="text1"/>
      <w:sz w:val="26"/>
      <w:szCs w:val="24"/>
    </w:rPr>
  </w:style>
  <w:style w:type="character" w:customStyle="1" w:styleId="Ttulo4Car">
    <w:name w:val="Título 4 Car"/>
    <w:basedOn w:val="Fuentedeprrafopredeter"/>
    <w:link w:val="Ttulo4"/>
    <w:uiPriority w:val="9"/>
    <w:semiHidden/>
    <w:rsid w:val="00C2532E"/>
    <w:rPr>
      <w:rFonts w:ascii="Arial" w:eastAsiaTheme="majorEastAsia" w:hAnsi="Arial" w:cstheme="majorBidi"/>
      <w:b/>
      <w:iCs/>
      <w:color w:val="000000" w:themeColor="text1"/>
      <w:sz w:val="24"/>
    </w:rPr>
  </w:style>
  <w:style w:type="character" w:customStyle="1" w:styleId="Ttulo5Car">
    <w:name w:val="Título 5 Car"/>
    <w:basedOn w:val="Fuentedeprrafopredeter"/>
    <w:link w:val="Ttulo5"/>
    <w:uiPriority w:val="9"/>
    <w:semiHidden/>
    <w:rsid w:val="00C2532E"/>
    <w:rPr>
      <w:rFonts w:asciiTheme="majorHAnsi" w:eastAsiaTheme="majorEastAsia" w:hAnsiTheme="majorHAnsi" w:cstheme="majorBidi"/>
      <w:color w:val="2F5496" w:themeColor="accent1" w:themeShade="BF"/>
      <w:sz w:val="24"/>
    </w:rPr>
  </w:style>
  <w:style w:type="character" w:customStyle="1" w:styleId="Ttulo6Car">
    <w:name w:val="Título 6 Car"/>
    <w:basedOn w:val="Fuentedeprrafopredeter"/>
    <w:link w:val="Ttulo6"/>
    <w:uiPriority w:val="9"/>
    <w:semiHidden/>
    <w:rsid w:val="00C2532E"/>
    <w:rPr>
      <w:rFonts w:asciiTheme="majorHAnsi" w:eastAsiaTheme="majorEastAsia" w:hAnsiTheme="majorHAnsi" w:cstheme="majorBidi"/>
      <w:color w:val="1F3763" w:themeColor="accent1" w:themeShade="7F"/>
      <w:sz w:val="24"/>
    </w:rPr>
  </w:style>
  <w:style w:type="character" w:customStyle="1" w:styleId="Ttulo7Car">
    <w:name w:val="Título 7 Car"/>
    <w:basedOn w:val="Fuentedeprrafopredeter"/>
    <w:link w:val="Ttulo7"/>
    <w:uiPriority w:val="9"/>
    <w:semiHidden/>
    <w:rsid w:val="00C2532E"/>
    <w:rPr>
      <w:rFonts w:asciiTheme="majorHAnsi" w:eastAsiaTheme="majorEastAsia" w:hAnsiTheme="majorHAnsi" w:cstheme="majorBidi"/>
      <w:i/>
      <w:iCs/>
      <w:color w:val="1F3763" w:themeColor="accent1" w:themeShade="7F"/>
      <w:sz w:val="24"/>
    </w:rPr>
  </w:style>
  <w:style w:type="character" w:customStyle="1" w:styleId="Ttulo8Car">
    <w:name w:val="Título 8 Car"/>
    <w:basedOn w:val="Fuentedeprrafopredeter"/>
    <w:link w:val="Ttulo8"/>
    <w:uiPriority w:val="9"/>
    <w:semiHidden/>
    <w:rsid w:val="00C2532E"/>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C2532E"/>
    <w:rPr>
      <w:rFonts w:asciiTheme="majorHAnsi" w:eastAsiaTheme="majorEastAsia" w:hAnsiTheme="majorHAnsi" w:cstheme="majorBidi"/>
      <w:i/>
      <w:iCs/>
      <w:color w:val="272727" w:themeColor="text1" w:themeTint="D8"/>
      <w:sz w:val="21"/>
      <w:szCs w:val="21"/>
    </w:rPr>
  </w:style>
  <w:style w:type="character" w:customStyle="1" w:styleId="PrrafodelistaCar">
    <w:name w:val="Párrafo de lista Car"/>
    <w:aliases w:val="Chocolate normal titulo2 Car"/>
    <w:link w:val="Prrafodelista"/>
    <w:uiPriority w:val="34"/>
    <w:locked/>
    <w:rsid w:val="00D46ACA"/>
    <w:rPr>
      <w:rFonts w:ascii="Arial" w:hAnsi="Arial" w:cs="Arial"/>
      <w:color w:val="000000" w:themeColor="text1"/>
      <w:sz w:val="24"/>
    </w:rPr>
  </w:style>
  <w:style w:type="paragraph" w:styleId="Prrafodelista">
    <w:name w:val="List Paragraph"/>
    <w:aliases w:val="Chocolate normal titulo2"/>
    <w:basedOn w:val="Normal"/>
    <w:link w:val="PrrafodelistaCar"/>
    <w:uiPriority w:val="34"/>
    <w:qFormat/>
    <w:rsid w:val="00D46ACA"/>
    <w:pPr>
      <w:spacing w:before="120" w:after="240" w:line="360" w:lineRule="auto"/>
      <w:ind w:left="720"/>
      <w:contextualSpacing/>
      <w:jc w:val="both"/>
    </w:pPr>
    <w:rPr>
      <w:rFonts w:ascii="Arial" w:hAnsi="Arial" w:cs="Arial"/>
      <w:color w:val="000000" w:themeColor="text1"/>
      <w:sz w:val="24"/>
    </w:rPr>
  </w:style>
  <w:style w:type="paragraph" w:styleId="Descripcin">
    <w:name w:val="caption"/>
    <w:basedOn w:val="Normal"/>
    <w:next w:val="Normal"/>
    <w:uiPriority w:val="35"/>
    <w:semiHidden/>
    <w:unhideWhenUsed/>
    <w:qFormat/>
    <w:rsid w:val="00D46ACA"/>
    <w:pPr>
      <w:spacing w:after="200" w:line="240" w:lineRule="auto"/>
      <w:jc w:val="both"/>
    </w:pPr>
    <w:rPr>
      <w:rFonts w:ascii="Arial" w:hAnsi="Arial"/>
      <w:i/>
      <w:iCs/>
      <w:color w:val="44546A" w:themeColor="text2"/>
      <w:sz w:val="18"/>
      <w:szCs w:val="18"/>
    </w:rPr>
  </w:style>
  <w:style w:type="table" w:styleId="Tablanormal2">
    <w:name w:val="Plain Table 2"/>
    <w:basedOn w:val="Tablanormal"/>
    <w:uiPriority w:val="42"/>
    <w:rsid w:val="00D46ACA"/>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5001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500198"/>
    <w:rPr>
      <w:sz w:val="16"/>
      <w:szCs w:val="16"/>
    </w:rPr>
  </w:style>
  <w:style w:type="paragraph" w:styleId="Encabezado">
    <w:name w:val="header"/>
    <w:basedOn w:val="Normal"/>
    <w:link w:val="EncabezadoCar"/>
    <w:uiPriority w:val="99"/>
    <w:unhideWhenUsed/>
    <w:rsid w:val="005001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0198"/>
  </w:style>
  <w:style w:type="paragraph" w:styleId="Piedepgina">
    <w:name w:val="footer"/>
    <w:basedOn w:val="Normal"/>
    <w:link w:val="PiedepginaCar"/>
    <w:uiPriority w:val="99"/>
    <w:unhideWhenUsed/>
    <w:rsid w:val="005001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0198"/>
  </w:style>
  <w:style w:type="paragraph" w:styleId="Bibliografa">
    <w:name w:val="Bibliography"/>
    <w:basedOn w:val="Normal"/>
    <w:next w:val="Normal"/>
    <w:uiPriority w:val="37"/>
    <w:semiHidden/>
    <w:unhideWhenUsed/>
    <w:rsid w:val="00DF6C84"/>
  </w:style>
  <w:style w:type="character" w:styleId="Hipervnculo">
    <w:name w:val="Hyperlink"/>
    <w:basedOn w:val="Fuentedeprrafopredeter"/>
    <w:uiPriority w:val="99"/>
    <w:unhideWhenUsed/>
    <w:rsid w:val="00DF6C84"/>
    <w:rPr>
      <w:color w:val="0563C1" w:themeColor="hyperlink"/>
      <w:u w:val="single"/>
    </w:rPr>
  </w:style>
  <w:style w:type="character" w:customStyle="1" w:styleId="UnresolvedMention">
    <w:name w:val="Unresolved Mention"/>
    <w:basedOn w:val="Fuentedeprrafopredeter"/>
    <w:uiPriority w:val="99"/>
    <w:semiHidden/>
    <w:unhideWhenUsed/>
    <w:rsid w:val="00DF6C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231">
      <w:bodyDiv w:val="1"/>
      <w:marLeft w:val="0"/>
      <w:marRight w:val="0"/>
      <w:marTop w:val="0"/>
      <w:marBottom w:val="0"/>
      <w:divBdr>
        <w:top w:val="none" w:sz="0" w:space="0" w:color="auto"/>
        <w:left w:val="none" w:sz="0" w:space="0" w:color="auto"/>
        <w:bottom w:val="none" w:sz="0" w:space="0" w:color="auto"/>
        <w:right w:val="none" w:sz="0" w:space="0" w:color="auto"/>
      </w:divBdr>
    </w:div>
    <w:div w:id="15086905">
      <w:bodyDiv w:val="1"/>
      <w:marLeft w:val="0"/>
      <w:marRight w:val="0"/>
      <w:marTop w:val="0"/>
      <w:marBottom w:val="0"/>
      <w:divBdr>
        <w:top w:val="none" w:sz="0" w:space="0" w:color="auto"/>
        <w:left w:val="none" w:sz="0" w:space="0" w:color="auto"/>
        <w:bottom w:val="none" w:sz="0" w:space="0" w:color="auto"/>
        <w:right w:val="none" w:sz="0" w:space="0" w:color="auto"/>
      </w:divBdr>
    </w:div>
    <w:div w:id="49807543">
      <w:bodyDiv w:val="1"/>
      <w:marLeft w:val="0"/>
      <w:marRight w:val="0"/>
      <w:marTop w:val="0"/>
      <w:marBottom w:val="0"/>
      <w:divBdr>
        <w:top w:val="none" w:sz="0" w:space="0" w:color="auto"/>
        <w:left w:val="none" w:sz="0" w:space="0" w:color="auto"/>
        <w:bottom w:val="none" w:sz="0" w:space="0" w:color="auto"/>
        <w:right w:val="none" w:sz="0" w:space="0" w:color="auto"/>
      </w:divBdr>
    </w:div>
    <w:div w:id="170606235">
      <w:bodyDiv w:val="1"/>
      <w:marLeft w:val="0"/>
      <w:marRight w:val="0"/>
      <w:marTop w:val="0"/>
      <w:marBottom w:val="0"/>
      <w:divBdr>
        <w:top w:val="none" w:sz="0" w:space="0" w:color="auto"/>
        <w:left w:val="none" w:sz="0" w:space="0" w:color="auto"/>
        <w:bottom w:val="none" w:sz="0" w:space="0" w:color="auto"/>
        <w:right w:val="none" w:sz="0" w:space="0" w:color="auto"/>
      </w:divBdr>
    </w:div>
    <w:div w:id="216816142">
      <w:bodyDiv w:val="1"/>
      <w:marLeft w:val="0"/>
      <w:marRight w:val="0"/>
      <w:marTop w:val="0"/>
      <w:marBottom w:val="0"/>
      <w:divBdr>
        <w:top w:val="none" w:sz="0" w:space="0" w:color="auto"/>
        <w:left w:val="none" w:sz="0" w:space="0" w:color="auto"/>
        <w:bottom w:val="none" w:sz="0" w:space="0" w:color="auto"/>
        <w:right w:val="none" w:sz="0" w:space="0" w:color="auto"/>
      </w:divBdr>
    </w:div>
    <w:div w:id="282658534">
      <w:bodyDiv w:val="1"/>
      <w:marLeft w:val="0"/>
      <w:marRight w:val="0"/>
      <w:marTop w:val="0"/>
      <w:marBottom w:val="0"/>
      <w:divBdr>
        <w:top w:val="none" w:sz="0" w:space="0" w:color="auto"/>
        <w:left w:val="none" w:sz="0" w:space="0" w:color="auto"/>
        <w:bottom w:val="none" w:sz="0" w:space="0" w:color="auto"/>
        <w:right w:val="none" w:sz="0" w:space="0" w:color="auto"/>
      </w:divBdr>
    </w:div>
    <w:div w:id="283077886">
      <w:bodyDiv w:val="1"/>
      <w:marLeft w:val="0"/>
      <w:marRight w:val="0"/>
      <w:marTop w:val="0"/>
      <w:marBottom w:val="0"/>
      <w:divBdr>
        <w:top w:val="none" w:sz="0" w:space="0" w:color="auto"/>
        <w:left w:val="none" w:sz="0" w:space="0" w:color="auto"/>
        <w:bottom w:val="none" w:sz="0" w:space="0" w:color="auto"/>
        <w:right w:val="none" w:sz="0" w:space="0" w:color="auto"/>
      </w:divBdr>
    </w:div>
    <w:div w:id="306738732">
      <w:bodyDiv w:val="1"/>
      <w:marLeft w:val="0"/>
      <w:marRight w:val="0"/>
      <w:marTop w:val="0"/>
      <w:marBottom w:val="0"/>
      <w:divBdr>
        <w:top w:val="none" w:sz="0" w:space="0" w:color="auto"/>
        <w:left w:val="none" w:sz="0" w:space="0" w:color="auto"/>
        <w:bottom w:val="none" w:sz="0" w:space="0" w:color="auto"/>
        <w:right w:val="none" w:sz="0" w:space="0" w:color="auto"/>
      </w:divBdr>
    </w:div>
    <w:div w:id="324210010">
      <w:bodyDiv w:val="1"/>
      <w:marLeft w:val="0"/>
      <w:marRight w:val="0"/>
      <w:marTop w:val="0"/>
      <w:marBottom w:val="0"/>
      <w:divBdr>
        <w:top w:val="none" w:sz="0" w:space="0" w:color="auto"/>
        <w:left w:val="none" w:sz="0" w:space="0" w:color="auto"/>
        <w:bottom w:val="none" w:sz="0" w:space="0" w:color="auto"/>
        <w:right w:val="none" w:sz="0" w:space="0" w:color="auto"/>
      </w:divBdr>
    </w:div>
    <w:div w:id="342325526">
      <w:bodyDiv w:val="1"/>
      <w:marLeft w:val="0"/>
      <w:marRight w:val="0"/>
      <w:marTop w:val="0"/>
      <w:marBottom w:val="0"/>
      <w:divBdr>
        <w:top w:val="none" w:sz="0" w:space="0" w:color="auto"/>
        <w:left w:val="none" w:sz="0" w:space="0" w:color="auto"/>
        <w:bottom w:val="none" w:sz="0" w:space="0" w:color="auto"/>
        <w:right w:val="none" w:sz="0" w:space="0" w:color="auto"/>
      </w:divBdr>
    </w:div>
    <w:div w:id="424156136">
      <w:bodyDiv w:val="1"/>
      <w:marLeft w:val="0"/>
      <w:marRight w:val="0"/>
      <w:marTop w:val="0"/>
      <w:marBottom w:val="0"/>
      <w:divBdr>
        <w:top w:val="none" w:sz="0" w:space="0" w:color="auto"/>
        <w:left w:val="none" w:sz="0" w:space="0" w:color="auto"/>
        <w:bottom w:val="none" w:sz="0" w:space="0" w:color="auto"/>
        <w:right w:val="none" w:sz="0" w:space="0" w:color="auto"/>
      </w:divBdr>
    </w:div>
    <w:div w:id="436028902">
      <w:bodyDiv w:val="1"/>
      <w:marLeft w:val="0"/>
      <w:marRight w:val="0"/>
      <w:marTop w:val="0"/>
      <w:marBottom w:val="0"/>
      <w:divBdr>
        <w:top w:val="none" w:sz="0" w:space="0" w:color="auto"/>
        <w:left w:val="none" w:sz="0" w:space="0" w:color="auto"/>
        <w:bottom w:val="none" w:sz="0" w:space="0" w:color="auto"/>
        <w:right w:val="none" w:sz="0" w:space="0" w:color="auto"/>
      </w:divBdr>
    </w:div>
    <w:div w:id="634138034">
      <w:bodyDiv w:val="1"/>
      <w:marLeft w:val="0"/>
      <w:marRight w:val="0"/>
      <w:marTop w:val="0"/>
      <w:marBottom w:val="0"/>
      <w:divBdr>
        <w:top w:val="none" w:sz="0" w:space="0" w:color="auto"/>
        <w:left w:val="none" w:sz="0" w:space="0" w:color="auto"/>
        <w:bottom w:val="none" w:sz="0" w:space="0" w:color="auto"/>
        <w:right w:val="none" w:sz="0" w:space="0" w:color="auto"/>
      </w:divBdr>
    </w:div>
    <w:div w:id="714430087">
      <w:bodyDiv w:val="1"/>
      <w:marLeft w:val="0"/>
      <w:marRight w:val="0"/>
      <w:marTop w:val="0"/>
      <w:marBottom w:val="0"/>
      <w:divBdr>
        <w:top w:val="none" w:sz="0" w:space="0" w:color="auto"/>
        <w:left w:val="none" w:sz="0" w:space="0" w:color="auto"/>
        <w:bottom w:val="none" w:sz="0" w:space="0" w:color="auto"/>
        <w:right w:val="none" w:sz="0" w:space="0" w:color="auto"/>
      </w:divBdr>
    </w:div>
    <w:div w:id="734016153">
      <w:bodyDiv w:val="1"/>
      <w:marLeft w:val="0"/>
      <w:marRight w:val="0"/>
      <w:marTop w:val="0"/>
      <w:marBottom w:val="0"/>
      <w:divBdr>
        <w:top w:val="none" w:sz="0" w:space="0" w:color="auto"/>
        <w:left w:val="none" w:sz="0" w:space="0" w:color="auto"/>
        <w:bottom w:val="none" w:sz="0" w:space="0" w:color="auto"/>
        <w:right w:val="none" w:sz="0" w:space="0" w:color="auto"/>
      </w:divBdr>
    </w:div>
    <w:div w:id="752045651">
      <w:bodyDiv w:val="1"/>
      <w:marLeft w:val="0"/>
      <w:marRight w:val="0"/>
      <w:marTop w:val="0"/>
      <w:marBottom w:val="0"/>
      <w:divBdr>
        <w:top w:val="none" w:sz="0" w:space="0" w:color="auto"/>
        <w:left w:val="none" w:sz="0" w:space="0" w:color="auto"/>
        <w:bottom w:val="none" w:sz="0" w:space="0" w:color="auto"/>
        <w:right w:val="none" w:sz="0" w:space="0" w:color="auto"/>
      </w:divBdr>
    </w:div>
    <w:div w:id="760762698">
      <w:bodyDiv w:val="1"/>
      <w:marLeft w:val="0"/>
      <w:marRight w:val="0"/>
      <w:marTop w:val="0"/>
      <w:marBottom w:val="0"/>
      <w:divBdr>
        <w:top w:val="none" w:sz="0" w:space="0" w:color="auto"/>
        <w:left w:val="none" w:sz="0" w:space="0" w:color="auto"/>
        <w:bottom w:val="none" w:sz="0" w:space="0" w:color="auto"/>
        <w:right w:val="none" w:sz="0" w:space="0" w:color="auto"/>
      </w:divBdr>
    </w:div>
    <w:div w:id="832718482">
      <w:bodyDiv w:val="1"/>
      <w:marLeft w:val="0"/>
      <w:marRight w:val="0"/>
      <w:marTop w:val="0"/>
      <w:marBottom w:val="0"/>
      <w:divBdr>
        <w:top w:val="none" w:sz="0" w:space="0" w:color="auto"/>
        <w:left w:val="none" w:sz="0" w:space="0" w:color="auto"/>
        <w:bottom w:val="none" w:sz="0" w:space="0" w:color="auto"/>
        <w:right w:val="none" w:sz="0" w:space="0" w:color="auto"/>
      </w:divBdr>
    </w:div>
    <w:div w:id="834102571">
      <w:bodyDiv w:val="1"/>
      <w:marLeft w:val="0"/>
      <w:marRight w:val="0"/>
      <w:marTop w:val="0"/>
      <w:marBottom w:val="0"/>
      <w:divBdr>
        <w:top w:val="none" w:sz="0" w:space="0" w:color="auto"/>
        <w:left w:val="none" w:sz="0" w:space="0" w:color="auto"/>
        <w:bottom w:val="none" w:sz="0" w:space="0" w:color="auto"/>
        <w:right w:val="none" w:sz="0" w:space="0" w:color="auto"/>
      </w:divBdr>
    </w:div>
    <w:div w:id="851644849">
      <w:bodyDiv w:val="1"/>
      <w:marLeft w:val="0"/>
      <w:marRight w:val="0"/>
      <w:marTop w:val="0"/>
      <w:marBottom w:val="0"/>
      <w:divBdr>
        <w:top w:val="none" w:sz="0" w:space="0" w:color="auto"/>
        <w:left w:val="none" w:sz="0" w:space="0" w:color="auto"/>
        <w:bottom w:val="none" w:sz="0" w:space="0" w:color="auto"/>
        <w:right w:val="none" w:sz="0" w:space="0" w:color="auto"/>
      </w:divBdr>
    </w:div>
    <w:div w:id="875387099">
      <w:bodyDiv w:val="1"/>
      <w:marLeft w:val="0"/>
      <w:marRight w:val="0"/>
      <w:marTop w:val="0"/>
      <w:marBottom w:val="0"/>
      <w:divBdr>
        <w:top w:val="none" w:sz="0" w:space="0" w:color="auto"/>
        <w:left w:val="none" w:sz="0" w:space="0" w:color="auto"/>
        <w:bottom w:val="none" w:sz="0" w:space="0" w:color="auto"/>
        <w:right w:val="none" w:sz="0" w:space="0" w:color="auto"/>
      </w:divBdr>
    </w:div>
    <w:div w:id="897862584">
      <w:bodyDiv w:val="1"/>
      <w:marLeft w:val="0"/>
      <w:marRight w:val="0"/>
      <w:marTop w:val="0"/>
      <w:marBottom w:val="0"/>
      <w:divBdr>
        <w:top w:val="none" w:sz="0" w:space="0" w:color="auto"/>
        <w:left w:val="none" w:sz="0" w:space="0" w:color="auto"/>
        <w:bottom w:val="none" w:sz="0" w:space="0" w:color="auto"/>
        <w:right w:val="none" w:sz="0" w:space="0" w:color="auto"/>
      </w:divBdr>
    </w:div>
    <w:div w:id="1094979565">
      <w:bodyDiv w:val="1"/>
      <w:marLeft w:val="0"/>
      <w:marRight w:val="0"/>
      <w:marTop w:val="0"/>
      <w:marBottom w:val="0"/>
      <w:divBdr>
        <w:top w:val="none" w:sz="0" w:space="0" w:color="auto"/>
        <w:left w:val="none" w:sz="0" w:space="0" w:color="auto"/>
        <w:bottom w:val="none" w:sz="0" w:space="0" w:color="auto"/>
        <w:right w:val="none" w:sz="0" w:space="0" w:color="auto"/>
      </w:divBdr>
    </w:div>
    <w:div w:id="1180972825">
      <w:bodyDiv w:val="1"/>
      <w:marLeft w:val="0"/>
      <w:marRight w:val="0"/>
      <w:marTop w:val="0"/>
      <w:marBottom w:val="0"/>
      <w:divBdr>
        <w:top w:val="none" w:sz="0" w:space="0" w:color="auto"/>
        <w:left w:val="none" w:sz="0" w:space="0" w:color="auto"/>
        <w:bottom w:val="none" w:sz="0" w:space="0" w:color="auto"/>
        <w:right w:val="none" w:sz="0" w:space="0" w:color="auto"/>
      </w:divBdr>
    </w:div>
    <w:div w:id="1233151294">
      <w:bodyDiv w:val="1"/>
      <w:marLeft w:val="0"/>
      <w:marRight w:val="0"/>
      <w:marTop w:val="0"/>
      <w:marBottom w:val="0"/>
      <w:divBdr>
        <w:top w:val="none" w:sz="0" w:space="0" w:color="auto"/>
        <w:left w:val="none" w:sz="0" w:space="0" w:color="auto"/>
        <w:bottom w:val="none" w:sz="0" w:space="0" w:color="auto"/>
        <w:right w:val="none" w:sz="0" w:space="0" w:color="auto"/>
      </w:divBdr>
    </w:div>
    <w:div w:id="1301154609">
      <w:bodyDiv w:val="1"/>
      <w:marLeft w:val="0"/>
      <w:marRight w:val="0"/>
      <w:marTop w:val="0"/>
      <w:marBottom w:val="0"/>
      <w:divBdr>
        <w:top w:val="none" w:sz="0" w:space="0" w:color="auto"/>
        <w:left w:val="none" w:sz="0" w:space="0" w:color="auto"/>
        <w:bottom w:val="none" w:sz="0" w:space="0" w:color="auto"/>
        <w:right w:val="none" w:sz="0" w:space="0" w:color="auto"/>
      </w:divBdr>
    </w:div>
    <w:div w:id="1304698423">
      <w:bodyDiv w:val="1"/>
      <w:marLeft w:val="0"/>
      <w:marRight w:val="0"/>
      <w:marTop w:val="0"/>
      <w:marBottom w:val="0"/>
      <w:divBdr>
        <w:top w:val="none" w:sz="0" w:space="0" w:color="auto"/>
        <w:left w:val="none" w:sz="0" w:space="0" w:color="auto"/>
        <w:bottom w:val="none" w:sz="0" w:space="0" w:color="auto"/>
        <w:right w:val="none" w:sz="0" w:space="0" w:color="auto"/>
      </w:divBdr>
    </w:div>
    <w:div w:id="1347488434">
      <w:bodyDiv w:val="1"/>
      <w:marLeft w:val="0"/>
      <w:marRight w:val="0"/>
      <w:marTop w:val="0"/>
      <w:marBottom w:val="0"/>
      <w:divBdr>
        <w:top w:val="none" w:sz="0" w:space="0" w:color="auto"/>
        <w:left w:val="none" w:sz="0" w:space="0" w:color="auto"/>
        <w:bottom w:val="none" w:sz="0" w:space="0" w:color="auto"/>
        <w:right w:val="none" w:sz="0" w:space="0" w:color="auto"/>
      </w:divBdr>
    </w:div>
    <w:div w:id="1376466536">
      <w:bodyDiv w:val="1"/>
      <w:marLeft w:val="0"/>
      <w:marRight w:val="0"/>
      <w:marTop w:val="0"/>
      <w:marBottom w:val="0"/>
      <w:divBdr>
        <w:top w:val="none" w:sz="0" w:space="0" w:color="auto"/>
        <w:left w:val="none" w:sz="0" w:space="0" w:color="auto"/>
        <w:bottom w:val="none" w:sz="0" w:space="0" w:color="auto"/>
        <w:right w:val="none" w:sz="0" w:space="0" w:color="auto"/>
      </w:divBdr>
    </w:div>
    <w:div w:id="1435707322">
      <w:bodyDiv w:val="1"/>
      <w:marLeft w:val="0"/>
      <w:marRight w:val="0"/>
      <w:marTop w:val="0"/>
      <w:marBottom w:val="0"/>
      <w:divBdr>
        <w:top w:val="none" w:sz="0" w:space="0" w:color="auto"/>
        <w:left w:val="none" w:sz="0" w:space="0" w:color="auto"/>
        <w:bottom w:val="none" w:sz="0" w:space="0" w:color="auto"/>
        <w:right w:val="none" w:sz="0" w:space="0" w:color="auto"/>
      </w:divBdr>
    </w:div>
    <w:div w:id="1438913913">
      <w:bodyDiv w:val="1"/>
      <w:marLeft w:val="0"/>
      <w:marRight w:val="0"/>
      <w:marTop w:val="0"/>
      <w:marBottom w:val="0"/>
      <w:divBdr>
        <w:top w:val="none" w:sz="0" w:space="0" w:color="auto"/>
        <w:left w:val="none" w:sz="0" w:space="0" w:color="auto"/>
        <w:bottom w:val="none" w:sz="0" w:space="0" w:color="auto"/>
        <w:right w:val="none" w:sz="0" w:space="0" w:color="auto"/>
      </w:divBdr>
    </w:div>
    <w:div w:id="1531721452">
      <w:bodyDiv w:val="1"/>
      <w:marLeft w:val="0"/>
      <w:marRight w:val="0"/>
      <w:marTop w:val="0"/>
      <w:marBottom w:val="0"/>
      <w:divBdr>
        <w:top w:val="none" w:sz="0" w:space="0" w:color="auto"/>
        <w:left w:val="none" w:sz="0" w:space="0" w:color="auto"/>
        <w:bottom w:val="none" w:sz="0" w:space="0" w:color="auto"/>
        <w:right w:val="none" w:sz="0" w:space="0" w:color="auto"/>
      </w:divBdr>
    </w:div>
    <w:div w:id="1558275905">
      <w:bodyDiv w:val="1"/>
      <w:marLeft w:val="0"/>
      <w:marRight w:val="0"/>
      <w:marTop w:val="0"/>
      <w:marBottom w:val="0"/>
      <w:divBdr>
        <w:top w:val="none" w:sz="0" w:space="0" w:color="auto"/>
        <w:left w:val="none" w:sz="0" w:space="0" w:color="auto"/>
        <w:bottom w:val="none" w:sz="0" w:space="0" w:color="auto"/>
        <w:right w:val="none" w:sz="0" w:space="0" w:color="auto"/>
      </w:divBdr>
    </w:div>
    <w:div w:id="1593975363">
      <w:bodyDiv w:val="1"/>
      <w:marLeft w:val="0"/>
      <w:marRight w:val="0"/>
      <w:marTop w:val="0"/>
      <w:marBottom w:val="0"/>
      <w:divBdr>
        <w:top w:val="none" w:sz="0" w:space="0" w:color="auto"/>
        <w:left w:val="none" w:sz="0" w:space="0" w:color="auto"/>
        <w:bottom w:val="none" w:sz="0" w:space="0" w:color="auto"/>
        <w:right w:val="none" w:sz="0" w:space="0" w:color="auto"/>
      </w:divBdr>
    </w:div>
    <w:div w:id="1619215085">
      <w:bodyDiv w:val="1"/>
      <w:marLeft w:val="0"/>
      <w:marRight w:val="0"/>
      <w:marTop w:val="0"/>
      <w:marBottom w:val="0"/>
      <w:divBdr>
        <w:top w:val="none" w:sz="0" w:space="0" w:color="auto"/>
        <w:left w:val="none" w:sz="0" w:space="0" w:color="auto"/>
        <w:bottom w:val="none" w:sz="0" w:space="0" w:color="auto"/>
        <w:right w:val="none" w:sz="0" w:space="0" w:color="auto"/>
      </w:divBdr>
    </w:div>
    <w:div w:id="1768455582">
      <w:bodyDiv w:val="1"/>
      <w:marLeft w:val="0"/>
      <w:marRight w:val="0"/>
      <w:marTop w:val="0"/>
      <w:marBottom w:val="0"/>
      <w:divBdr>
        <w:top w:val="none" w:sz="0" w:space="0" w:color="auto"/>
        <w:left w:val="none" w:sz="0" w:space="0" w:color="auto"/>
        <w:bottom w:val="none" w:sz="0" w:space="0" w:color="auto"/>
        <w:right w:val="none" w:sz="0" w:space="0" w:color="auto"/>
      </w:divBdr>
    </w:div>
    <w:div w:id="1800033080">
      <w:bodyDiv w:val="1"/>
      <w:marLeft w:val="0"/>
      <w:marRight w:val="0"/>
      <w:marTop w:val="0"/>
      <w:marBottom w:val="0"/>
      <w:divBdr>
        <w:top w:val="none" w:sz="0" w:space="0" w:color="auto"/>
        <w:left w:val="none" w:sz="0" w:space="0" w:color="auto"/>
        <w:bottom w:val="none" w:sz="0" w:space="0" w:color="auto"/>
        <w:right w:val="none" w:sz="0" w:space="0" w:color="auto"/>
      </w:divBdr>
    </w:div>
    <w:div w:id="1908030137">
      <w:bodyDiv w:val="1"/>
      <w:marLeft w:val="0"/>
      <w:marRight w:val="0"/>
      <w:marTop w:val="0"/>
      <w:marBottom w:val="0"/>
      <w:divBdr>
        <w:top w:val="none" w:sz="0" w:space="0" w:color="auto"/>
        <w:left w:val="none" w:sz="0" w:space="0" w:color="auto"/>
        <w:bottom w:val="none" w:sz="0" w:space="0" w:color="auto"/>
        <w:right w:val="none" w:sz="0" w:space="0" w:color="auto"/>
      </w:divBdr>
    </w:div>
    <w:div w:id="2013143943">
      <w:bodyDiv w:val="1"/>
      <w:marLeft w:val="0"/>
      <w:marRight w:val="0"/>
      <w:marTop w:val="0"/>
      <w:marBottom w:val="0"/>
      <w:divBdr>
        <w:top w:val="none" w:sz="0" w:space="0" w:color="auto"/>
        <w:left w:val="none" w:sz="0" w:space="0" w:color="auto"/>
        <w:bottom w:val="none" w:sz="0" w:space="0" w:color="auto"/>
        <w:right w:val="none" w:sz="0" w:space="0" w:color="auto"/>
      </w:divBdr>
    </w:div>
    <w:div w:id="2042854880">
      <w:bodyDiv w:val="1"/>
      <w:marLeft w:val="0"/>
      <w:marRight w:val="0"/>
      <w:marTop w:val="0"/>
      <w:marBottom w:val="0"/>
      <w:divBdr>
        <w:top w:val="none" w:sz="0" w:space="0" w:color="auto"/>
        <w:left w:val="none" w:sz="0" w:space="0" w:color="auto"/>
        <w:bottom w:val="none" w:sz="0" w:space="0" w:color="auto"/>
        <w:right w:val="none" w:sz="0" w:space="0" w:color="auto"/>
      </w:divBdr>
    </w:div>
    <w:div w:id="2120642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eli-12@outlook.es" TargetMode="External"/><Relationship Id="rId13" Type="http://schemas.microsoft.com/office/2007/relationships/diagramDrawing" Target="diagrams/drawing1.xml"/><Relationship Id="rId18" Type="http://schemas.openxmlformats.org/officeDocument/2006/relationships/chart" Target="charts/chart40.xml"/><Relationship Id="rId26" Type="http://schemas.openxmlformats.org/officeDocument/2006/relationships/hyperlink" Target="file:///E:\ESPAM\TESIS%20CARLA\documentos\Gui&#769;ayplangeneralparaelretornoprogresivo.pdf"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file:///C:/Users/Usuario/Downloads/TUTENF034-2017.pdf"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chart" Target="charts/chart4.xml"/><Relationship Id="rId25" Type="http://schemas.openxmlformats.org/officeDocument/2006/relationships/hyperlink" Target="http://www.dspace.uce.edu.ec/handle/25000/10011" TargetMode="External"/><Relationship Id="rId33" Type="http://schemas.openxmlformats.org/officeDocument/2006/relationships/hyperlink" Target="https://www.bbc.com/mundo/noticias-america-latina-52748764"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2.tmp"/><Relationship Id="rId29" Type="http://schemas.openxmlformats.org/officeDocument/2006/relationships/hyperlink" Target="https://www.expoknews.com/a-que-nos-referimos-cuando-hablamos-de-fortalecimiento-institucional-de-las-os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file:///C:/Users/Usuario/Downloads/Aveiga_oa.pdf" TargetMode="External"/><Relationship Id="rId32" Type="http://schemas.openxmlformats.org/officeDocument/2006/relationships/hyperlink" Target="https://repository.ucatolica.edu.co/bitstream/10983/2884/13/Art%C3%ADculo.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5.tmp"/><Relationship Id="rId28" Type="http://schemas.openxmlformats.org/officeDocument/2006/relationships/hyperlink" Target="file:///E:/TESIS%20CARLA/Cardillo-Diana.pdf" TargetMode="External"/><Relationship Id="rId36" Type="http://schemas.openxmlformats.org/officeDocument/2006/relationships/hyperlink" Target="https://www.elpais.cr/2020/05/13/gobierno-halla-mas-de-50-de-comerciantes-infectados-por-covid-19-en-mercados-de-lima/" TargetMode="External"/><Relationship Id="rId10" Type="http://schemas.openxmlformats.org/officeDocument/2006/relationships/diagramLayout" Target="diagrams/layout1.xml"/><Relationship Id="rId19" Type="http://schemas.openxmlformats.org/officeDocument/2006/relationships/image" Target="media/image1.tmp"/><Relationship Id="rId31" Type="http://schemas.openxmlformats.org/officeDocument/2006/relationships/hyperlink" Target="https://www.paho.org/pan/index.php?option=com_docman&amp;view=download&amp;alias=374-capacitacion-en-higiene-para-manipuladores-de-alimentos-guia-metodologica-y-practica&amp;category_slug=publications&amp;Itemid=224"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image" Target="media/image4.tmp"/><Relationship Id="rId27" Type="http://schemas.openxmlformats.org/officeDocument/2006/relationships/hyperlink" Target="https://www.cedia.edu.ec/dmdocuments/publicaciones/Folletos/guia_teletrabajo.pdf" TargetMode="External"/><Relationship Id="rId30" Type="http://schemas.openxmlformats.org/officeDocument/2006/relationships/hyperlink" Target="https://cdsa.aacademica.org/000-038/689.pdf" TargetMode="External"/><Relationship Id="rId35" Type="http://schemas.openxmlformats.org/officeDocument/2006/relationships/hyperlink" Target="https://www.rtve.es/noticias/20200613/brote-coronavirus-principal-mercado-pekin-dispara-alarmas-china/2017520.s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Desktop\TESIS\COMPORTAMIENT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uario\Desktop\TESIS\Resultados%20de%20Conocimiento%20segunda%20encuesta%20(Autoguardad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uario\Desktop\TESIS\COMPORTAMIENTO%20-%20Despu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uario\Desktop\TESIS\Resultados%20de%20Conocimiento%20segunda%20encuesta%20(Autoguardado)%20-%20Despues.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Usuario\Desktop\TESIS\Resultados%20de%20Conocimiento%20segunda%20encuesta%20(Autoguardado)%20-%20Despues.xlsx" TargetMode="External"/><Relationship Id="rId2" Type="http://schemas.microsoft.com/office/2011/relationships/chartColorStyle" Target="colors40.xml"/><Relationship Id="rId1" Type="http://schemas.microsoft.com/office/2011/relationships/chartStyle" Target="style40.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50" b="1" i="0" u="none" strike="noStrike" kern="1200" spc="0" baseline="0">
                <a:solidFill>
                  <a:schemeClr val="tx1"/>
                </a:solidFill>
                <a:latin typeface="Arial Narrow" panose="020B0606020202030204" pitchFamily="34" charset="0"/>
                <a:ea typeface="+mn-ea"/>
                <a:cs typeface="+mn-cs"/>
              </a:defRPr>
            </a:pPr>
            <a:r>
              <a:rPr lang="en-US" sz="1050" b="1">
                <a:solidFill>
                  <a:schemeClr val="tx1"/>
                </a:solidFill>
                <a:latin typeface="Arial Narrow" panose="020B0606020202030204" pitchFamily="34" charset="0"/>
              </a:rPr>
              <a:t>COMPORTAMIENTO</a:t>
            </a:r>
            <a:r>
              <a:rPr lang="en-US" sz="1050" b="1" baseline="0">
                <a:solidFill>
                  <a:schemeClr val="tx1"/>
                </a:solidFill>
                <a:latin typeface="Arial Narrow" panose="020B0606020202030204" pitchFamily="34" charset="0"/>
              </a:rPr>
              <a:t> (ANTES)</a:t>
            </a:r>
            <a:endParaRPr lang="en-US" sz="1050" b="1">
              <a:solidFill>
                <a:schemeClr val="tx1"/>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solidFill>
              <a:latin typeface="Arial Narrow" panose="020B0606020202030204" pitchFamily="34" charset="0"/>
              <a:ea typeface="+mn-ea"/>
              <a:cs typeface="+mn-cs"/>
            </a:defRPr>
          </a:pPr>
          <a:endParaRPr lang="es-EC"/>
        </a:p>
      </c:txPr>
    </c:title>
    <c:autoTitleDeleted val="0"/>
    <c:plotArea>
      <c:layout/>
      <c:pieChart>
        <c:varyColors val="1"/>
        <c:ser>
          <c:idx val="0"/>
          <c:order val="0"/>
          <c:dPt>
            <c:idx val="0"/>
            <c:bubble3D val="0"/>
            <c:spPr>
              <a:solidFill>
                <a:schemeClr val="accent3">
                  <a:shade val="4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80F5-4E91-B664-FDEF3A51659E}"/>
              </c:ext>
            </c:extLst>
          </c:dPt>
          <c:dPt>
            <c:idx val="1"/>
            <c:bubble3D val="0"/>
            <c:spPr>
              <a:solidFill>
                <a:schemeClr val="accent3">
                  <a:shade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80F5-4E91-B664-FDEF3A51659E}"/>
              </c:ext>
            </c:extLst>
          </c:dPt>
          <c:dPt>
            <c:idx val="2"/>
            <c:bubble3D val="0"/>
            <c:spPr>
              <a:solidFill>
                <a:schemeClr val="accent3">
                  <a:shade val="8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80F5-4E91-B664-FDEF3A51659E}"/>
              </c:ext>
            </c:extLst>
          </c:dPt>
          <c:dPt>
            <c:idx val="3"/>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7-80F5-4E91-B664-FDEF3A51659E}"/>
              </c:ext>
            </c:extLst>
          </c:dPt>
          <c:dPt>
            <c:idx val="4"/>
            <c:bubble3D val="0"/>
            <c:spPr>
              <a:solidFill>
                <a:schemeClr val="accent3">
                  <a:tint val="83000"/>
                </a:schemeClr>
              </a:solidFill>
              <a:ln w="19050">
                <a:noFill/>
              </a:ln>
              <a:effectLst/>
            </c:spPr>
            <c:extLst xmlns:c16r2="http://schemas.microsoft.com/office/drawing/2015/06/chart">
              <c:ext xmlns:c16="http://schemas.microsoft.com/office/drawing/2014/chart" uri="{C3380CC4-5D6E-409C-BE32-E72D297353CC}">
                <c16:uniqueId val="{00000009-80F5-4E91-B664-FDEF3A51659E}"/>
              </c:ext>
            </c:extLst>
          </c:dPt>
          <c:dPt>
            <c:idx val="5"/>
            <c:bubble3D val="0"/>
            <c:spPr>
              <a:solidFill>
                <a:schemeClr val="accent3">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80F5-4E91-B664-FDEF3A51659E}"/>
              </c:ext>
            </c:extLst>
          </c:dPt>
          <c:dPt>
            <c:idx val="6"/>
            <c:bubble3D val="0"/>
            <c:spPr>
              <a:solidFill>
                <a:schemeClr val="accent3">
                  <a:tint val="4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80F5-4E91-B664-FDEF3A51659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Hoja3!$Q$4:$Q$10</c:f>
              <c:strCache>
                <c:ptCount val="5"/>
                <c:pt idx="0">
                  <c:v>Aceptable</c:v>
                </c:pt>
                <c:pt idx="4">
                  <c:v>No Aceptable</c:v>
                </c:pt>
              </c:strCache>
            </c:strRef>
          </c:cat>
          <c:val>
            <c:numRef>
              <c:f>Hoja3!$R$4:$R$10</c:f>
              <c:numCache>
                <c:formatCode>General</c:formatCode>
                <c:ptCount val="7"/>
                <c:pt idx="0">
                  <c:v>9</c:v>
                </c:pt>
                <c:pt idx="4">
                  <c:v>16</c:v>
                </c:pt>
              </c:numCache>
            </c:numRef>
          </c:val>
          <c:extLst xmlns:c16r2="http://schemas.microsoft.com/office/drawing/2015/06/chart">
            <c:ext xmlns:c16="http://schemas.microsoft.com/office/drawing/2014/chart" uri="{C3380CC4-5D6E-409C-BE32-E72D297353CC}">
              <c16:uniqueId val="{0000000E-80F5-4E91-B664-FDEF3A51659E}"/>
            </c:ext>
          </c:extLst>
        </c:ser>
        <c:dLbls>
          <c:showLegendKey val="0"/>
          <c:showVal val="0"/>
          <c:showCatName val="0"/>
          <c:showSerName val="0"/>
          <c:showPercent val="1"/>
          <c:showBubbleSize val="0"/>
          <c:showLeaderLines val="1"/>
        </c:dLbls>
        <c:firstSliceAng val="0"/>
      </c:pieChart>
      <c:spPr>
        <a:noFill/>
        <a:ln>
          <a:noFill/>
        </a:ln>
        <a:effectLst/>
      </c:spPr>
    </c:plotArea>
    <c:legend>
      <c:legendPos val="b"/>
      <c:legendEntry>
        <c:idx val="1"/>
        <c:delete val="1"/>
      </c:legendEntry>
      <c:legendEntry>
        <c:idx val="2"/>
        <c:delete val="1"/>
      </c:legendEntry>
      <c:legendEntry>
        <c:idx val="3"/>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es-EC"/>
        </a:p>
      </c:txPr>
    </c:legend>
    <c:plotVisOnly val="1"/>
    <c:dispBlanksAs val="gap"/>
    <c:showDLblsOverMax val="0"/>
  </c:chart>
  <c:spPr>
    <a:solidFill>
      <a:schemeClr val="bg1"/>
    </a:solidFill>
    <a:ln w="9525" cap="flat" cmpd="sng" algn="ctr">
      <a:no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50" b="1" i="0" u="none" strike="noStrike" kern="1200" spc="0" baseline="0">
                <a:solidFill>
                  <a:schemeClr val="tx1"/>
                </a:solidFill>
                <a:latin typeface="Arial Narrow" panose="020B0606020202030204" pitchFamily="34" charset="0"/>
                <a:ea typeface="+mn-ea"/>
                <a:cs typeface="+mn-cs"/>
              </a:defRPr>
            </a:pPr>
            <a:r>
              <a:rPr lang="en-US" sz="1050" b="1">
                <a:solidFill>
                  <a:schemeClr val="tx1"/>
                </a:solidFill>
                <a:latin typeface="Arial Narrow" panose="020B0606020202030204" pitchFamily="34" charset="0"/>
              </a:rPr>
              <a:t>CONOCIMIENTO</a:t>
            </a:r>
            <a:r>
              <a:rPr lang="en-US" sz="1050" b="1" baseline="0">
                <a:solidFill>
                  <a:schemeClr val="tx1"/>
                </a:solidFill>
                <a:latin typeface="Arial Narrow" panose="020B0606020202030204" pitchFamily="34" charset="0"/>
              </a:rPr>
              <a:t> (ANTES)</a:t>
            </a:r>
            <a:endParaRPr lang="en-US" sz="1050" b="1">
              <a:solidFill>
                <a:schemeClr val="tx1"/>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solidFill>
              <a:latin typeface="Arial Narrow" panose="020B0606020202030204" pitchFamily="34" charset="0"/>
              <a:ea typeface="+mn-ea"/>
              <a:cs typeface="+mn-cs"/>
            </a:defRPr>
          </a:pPr>
          <a:endParaRPr lang="es-EC"/>
        </a:p>
      </c:txPr>
    </c:title>
    <c:autoTitleDeleted val="0"/>
    <c:plotArea>
      <c:layout/>
      <c:pieChart>
        <c:varyColors val="1"/>
        <c:ser>
          <c:idx val="0"/>
          <c:order val="0"/>
          <c:spPr>
            <a:ln>
              <a:noFill/>
            </a:ln>
          </c:spPr>
          <c:dPt>
            <c:idx val="0"/>
            <c:bubble3D val="0"/>
            <c:spPr>
              <a:solidFill>
                <a:schemeClr val="accent3">
                  <a:shade val="42000"/>
                </a:schemeClr>
              </a:solidFill>
              <a:ln w="19050">
                <a:noFill/>
              </a:ln>
              <a:effectLst/>
            </c:spPr>
            <c:extLst xmlns:c16r2="http://schemas.microsoft.com/office/drawing/2015/06/chart">
              <c:ext xmlns:c16="http://schemas.microsoft.com/office/drawing/2014/chart" uri="{C3380CC4-5D6E-409C-BE32-E72D297353CC}">
                <c16:uniqueId val="{00000001-3DD1-4772-8DFF-E31621BE077C}"/>
              </c:ext>
            </c:extLst>
          </c:dPt>
          <c:dPt>
            <c:idx val="1"/>
            <c:bubble3D val="0"/>
            <c:spPr>
              <a:solidFill>
                <a:schemeClr val="accent3">
                  <a:shade val="55000"/>
                </a:schemeClr>
              </a:solidFill>
              <a:ln w="19050">
                <a:noFill/>
              </a:ln>
              <a:effectLst/>
            </c:spPr>
            <c:extLst xmlns:c16r2="http://schemas.microsoft.com/office/drawing/2015/06/chart">
              <c:ext xmlns:c16="http://schemas.microsoft.com/office/drawing/2014/chart" uri="{C3380CC4-5D6E-409C-BE32-E72D297353CC}">
                <c16:uniqueId val="{00000003-3DD1-4772-8DFF-E31621BE077C}"/>
              </c:ext>
            </c:extLst>
          </c:dPt>
          <c:dPt>
            <c:idx val="2"/>
            <c:bubble3D val="0"/>
            <c:spPr>
              <a:solidFill>
                <a:schemeClr val="accent3">
                  <a:shade val="68000"/>
                </a:schemeClr>
              </a:solidFill>
              <a:ln w="19050">
                <a:noFill/>
              </a:ln>
              <a:effectLst/>
            </c:spPr>
            <c:extLst xmlns:c16r2="http://schemas.microsoft.com/office/drawing/2015/06/chart">
              <c:ext xmlns:c16="http://schemas.microsoft.com/office/drawing/2014/chart" uri="{C3380CC4-5D6E-409C-BE32-E72D297353CC}">
                <c16:uniqueId val="{00000005-3DD1-4772-8DFF-E31621BE077C}"/>
              </c:ext>
            </c:extLst>
          </c:dPt>
          <c:dPt>
            <c:idx val="3"/>
            <c:bubble3D val="0"/>
            <c:spPr>
              <a:solidFill>
                <a:schemeClr val="accent3">
                  <a:shade val="80000"/>
                </a:schemeClr>
              </a:solidFill>
              <a:ln w="19050">
                <a:noFill/>
              </a:ln>
              <a:effectLst/>
            </c:spPr>
            <c:extLst xmlns:c16r2="http://schemas.microsoft.com/office/drawing/2015/06/chart">
              <c:ext xmlns:c16="http://schemas.microsoft.com/office/drawing/2014/chart" uri="{C3380CC4-5D6E-409C-BE32-E72D297353CC}">
                <c16:uniqueId val="{00000007-3DD1-4772-8DFF-E31621BE077C}"/>
              </c:ext>
            </c:extLst>
          </c:dPt>
          <c:dPt>
            <c:idx val="4"/>
            <c:bubble3D val="0"/>
            <c:spPr>
              <a:solidFill>
                <a:schemeClr val="accent3">
                  <a:shade val="93000"/>
                </a:schemeClr>
              </a:solidFill>
              <a:ln w="19050">
                <a:noFill/>
              </a:ln>
              <a:effectLst/>
            </c:spPr>
            <c:extLst xmlns:c16r2="http://schemas.microsoft.com/office/drawing/2015/06/chart">
              <c:ext xmlns:c16="http://schemas.microsoft.com/office/drawing/2014/chart" uri="{C3380CC4-5D6E-409C-BE32-E72D297353CC}">
                <c16:uniqueId val="{00000009-3DD1-4772-8DFF-E31621BE077C}"/>
              </c:ext>
            </c:extLst>
          </c:dPt>
          <c:dPt>
            <c:idx val="5"/>
            <c:bubble3D val="0"/>
            <c:spPr>
              <a:solidFill>
                <a:schemeClr val="accent3">
                  <a:tint val="94000"/>
                </a:schemeClr>
              </a:solidFill>
              <a:ln w="19050">
                <a:noFill/>
              </a:ln>
              <a:effectLst/>
            </c:spPr>
            <c:extLst xmlns:c16r2="http://schemas.microsoft.com/office/drawing/2015/06/chart">
              <c:ext xmlns:c16="http://schemas.microsoft.com/office/drawing/2014/chart" uri="{C3380CC4-5D6E-409C-BE32-E72D297353CC}">
                <c16:uniqueId val="{0000000B-3DD1-4772-8DFF-E31621BE077C}"/>
              </c:ext>
            </c:extLst>
          </c:dPt>
          <c:dPt>
            <c:idx val="6"/>
            <c:bubble3D val="0"/>
            <c:spPr>
              <a:solidFill>
                <a:schemeClr val="accent3">
                  <a:tint val="81000"/>
                </a:schemeClr>
              </a:solidFill>
              <a:ln w="19050">
                <a:noFill/>
              </a:ln>
              <a:effectLst/>
            </c:spPr>
            <c:extLst xmlns:c16r2="http://schemas.microsoft.com/office/drawing/2015/06/chart">
              <c:ext xmlns:c16="http://schemas.microsoft.com/office/drawing/2014/chart" uri="{C3380CC4-5D6E-409C-BE32-E72D297353CC}">
                <c16:uniqueId val="{0000000D-3DD1-4772-8DFF-E31621BE077C}"/>
              </c:ext>
            </c:extLst>
          </c:dPt>
          <c:dPt>
            <c:idx val="7"/>
            <c:bubble3D val="0"/>
            <c:spPr>
              <a:solidFill>
                <a:schemeClr val="accent3">
                  <a:tint val="69000"/>
                </a:schemeClr>
              </a:solidFill>
              <a:ln w="19050">
                <a:noFill/>
              </a:ln>
              <a:effectLst/>
            </c:spPr>
            <c:extLst xmlns:c16r2="http://schemas.microsoft.com/office/drawing/2015/06/chart">
              <c:ext xmlns:c16="http://schemas.microsoft.com/office/drawing/2014/chart" uri="{C3380CC4-5D6E-409C-BE32-E72D297353CC}">
                <c16:uniqueId val="{0000000F-3DD1-4772-8DFF-E31621BE077C}"/>
              </c:ext>
            </c:extLst>
          </c:dPt>
          <c:dPt>
            <c:idx val="8"/>
            <c:bubble3D val="0"/>
            <c:spPr>
              <a:solidFill>
                <a:schemeClr val="accent3">
                  <a:tint val="56000"/>
                </a:schemeClr>
              </a:solidFill>
              <a:ln w="19050">
                <a:noFill/>
              </a:ln>
              <a:effectLst/>
            </c:spPr>
            <c:extLst xmlns:c16r2="http://schemas.microsoft.com/office/drawing/2015/06/chart">
              <c:ext xmlns:c16="http://schemas.microsoft.com/office/drawing/2014/chart" uri="{C3380CC4-5D6E-409C-BE32-E72D297353CC}">
                <c16:uniqueId val="{00000011-3DD1-4772-8DFF-E31621BE077C}"/>
              </c:ext>
            </c:extLst>
          </c:dPt>
          <c:dPt>
            <c:idx val="9"/>
            <c:bubble3D val="0"/>
            <c:spPr>
              <a:solidFill>
                <a:schemeClr val="accent3">
                  <a:tint val="43000"/>
                </a:schemeClr>
              </a:solidFill>
              <a:ln w="19050">
                <a:noFill/>
              </a:ln>
              <a:effectLst/>
            </c:spPr>
            <c:extLst xmlns:c16r2="http://schemas.microsoft.com/office/drawing/2015/06/chart">
              <c:ext xmlns:c16="http://schemas.microsoft.com/office/drawing/2014/chart" uri="{C3380CC4-5D6E-409C-BE32-E72D297353CC}">
                <c16:uniqueId val="{00000013-3DD1-4772-8DFF-E31621BE077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Narrow" panose="020B0606020202030204" pitchFamily="34" charset="0"/>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Hoja1!$P$14:$P$23</c:f>
              <c:strCache>
                <c:ptCount val="7"/>
                <c:pt idx="0">
                  <c:v>Bajo</c:v>
                </c:pt>
                <c:pt idx="3">
                  <c:v>Alto</c:v>
                </c:pt>
                <c:pt idx="6">
                  <c:v>Muy Alto</c:v>
                </c:pt>
              </c:strCache>
            </c:strRef>
          </c:cat>
          <c:val>
            <c:numRef>
              <c:f>Hoja1!$Q$14:$Q$23</c:f>
              <c:numCache>
                <c:formatCode>General</c:formatCode>
                <c:ptCount val="10"/>
                <c:pt idx="0">
                  <c:v>18</c:v>
                </c:pt>
                <c:pt idx="3">
                  <c:v>6</c:v>
                </c:pt>
                <c:pt idx="6">
                  <c:v>1</c:v>
                </c:pt>
              </c:numCache>
            </c:numRef>
          </c:val>
          <c:extLst xmlns:c16r2="http://schemas.microsoft.com/office/drawing/2015/06/chart">
            <c:ext xmlns:c16="http://schemas.microsoft.com/office/drawing/2014/chart" uri="{C3380CC4-5D6E-409C-BE32-E72D297353CC}">
              <c16:uniqueId val="{00000014-3DD1-4772-8DFF-E31621BE077C}"/>
            </c:ext>
          </c:extLst>
        </c:ser>
        <c:ser>
          <c:idx val="1"/>
          <c:order val="1"/>
          <c:dPt>
            <c:idx val="0"/>
            <c:bubble3D val="0"/>
            <c:spPr>
              <a:solidFill>
                <a:schemeClr val="accent3">
                  <a:shade val="4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6-3DD1-4772-8DFF-E31621BE077C}"/>
              </c:ext>
            </c:extLst>
          </c:dPt>
          <c:dPt>
            <c:idx val="1"/>
            <c:bubble3D val="0"/>
            <c:spPr>
              <a:solidFill>
                <a:schemeClr val="accent3">
                  <a:shade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8-3DD1-4772-8DFF-E31621BE077C}"/>
              </c:ext>
            </c:extLst>
          </c:dPt>
          <c:dPt>
            <c:idx val="2"/>
            <c:bubble3D val="0"/>
            <c:spPr>
              <a:solidFill>
                <a:schemeClr val="accent3">
                  <a:shade val="6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A-3DD1-4772-8DFF-E31621BE077C}"/>
              </c:ext>
            </c:extLst>
          </c:dPt>
          <c:dPt>
            <c:idx val="3"/>
            <c:bubble3D val="0"/>
            <c:spPr>
              <a:solidFill>
                <a:schemeClr val="accent3">
                  <a:shade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C-3DD1-4772-8DFF-E31621BE077C}"/>
              </c:ext>
            </c:extLst>
          </c:dPt>
          <c:dPt>
            <c:idx val="4"/>
            <c:bubble3D val="0"/>
            <c:spPr>
              <a:solidFill>
                <a:schemeClr val="accent3">
                  <a:shade val="9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E-3DD1-4772-8DFF-E31621BE077C}"/>
              </c:ext>
            </c:extLst>
          </c:dPt>
          <c:dPt>
            <c:idx val="5"/>
            <c:bubble3D val="0"/>
            <c:spPr>
              <a:solidFill>
                <a:schemeClr val="accent3">
                  <a:tint val="9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0-3DD1-4772-8DFF-E31621BE077C}"/>
              </c:ext>
            </c:extLst>
          </c:dPt>
          <c:dPt>
            <c:idx val="6"/>
            <c:bubble3D val="0"/>
            <c:spPr>
              <a:solidFill>
                <a:schemeClr val="accent3">
                  <a:tint val="81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2-3DD1-4772-8DFF-E31621BE077C}"/>
              </c:ext>
            </c:extLst>
          </c:dPt>
          <c:dPt>
            <c:idx val="7"/>
            <c:bubble3D val="0"/>
            <c:spPr>
              <a:solidFill>
                <a:schemeClr val="accent3">
                  <a:tint val="69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4-3DD1-4772-8DFF-E31621BE077C}"/>
              </c:ext>
            </c:extLst>
          </c:dPt>
          <c:dPt>
            <c:idx val="8"/>
            <c:bubble3D val="0"/>
            <c:spPr>
              <a:solidFill>
                <a:schemeClr val="accent3">
                  <a:tint val="5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6-3DD1-4772-8DFF-E31621BE077C}"/>
              </c:ext>
            </c:extLst>
          </c:dPt>
          <c:dPt>
            <c:idx val="9"/>
            <c:bubble3D val="0"/>
            <c:spPr>
              <a:solidFill>
                <a:schemeClr val="accent3">
                  <a:tint val="4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8-3DD1-4772-8DFF-E31621BE077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Hoja1!$P$14:$P$23</c:f>
              <c:strCache>
                <c:ptCount val="7"/>
                <c:pt idx="0">
                  <c:v>Bajo</c:v>
                </c:pt>
                <c:pt idx="3">
                  <c:v>Alto</c:v>
                </c:pt>
                <c:pt idx="6">
                  <c:v>Muy Alto</c:v>
                </c:pt>
              </c:strCache>
            </c:strRef>
          </c:cat>
          <c:val>
            <c:numRef>
              <c:f>Hoja1!$R$14:$R$23</c:f>
              <c:numCache>
                <c:formatCode>General</c:formatCode>
                <c:ptCount val="10"/>
              </c:numCache>
            </c:numRef>
          </c:val>
          <c:extLst xmlns:c16r2="http://schemas.microsoft.com/office/drawing/2015/06/chart">
            <c:ext xmlns:c16="http://schemas.microsoft.com/office/drawing/2014/chart" uri="{C3380CC4-5D6E-409C-BE32-E72D297353CC}">
              <c16:uniqueId val="{00000029-3DD1-4772-8DFF-E31621BE077C}"/>
            </c:ext>
          </c:extLst>
        </c:ser>
        <c:dLbls>
          <c:showLegendKey val="0"/>
          <c:showVal val="0"/>
          <c:showCatName val="0"/>
          <c:showSerName val="0"/>
          <c:showPercent val="1"/>
          <c:showBubbleSize val="0"/>
          <c:showLeaderLines val="1"/>
        </c:dLbls>
        <c:firstSliceAng val="0"/>
      </c:pieChart>
      <c:spPr>
        <a:noFill/>
        <a:ln>
          <a:noFill/>
        </a:ln>
        <a:effectLst/>
      </c:spPr>
    </c:plotArea>
    <c:legend>
      <c:legendPos val="b"/>
      <c:legendEntry>
        <c:idx val="1"/>
        <c:delete val="1"/>
      </c:legendEntry>
      <c:legendEntry>
        <c:idx val="2"/>
        <c:delete val="1"/>
      </c:legendEntry>
      <c:legendEntry>
        <c:idx val="4"/>
        <c:delete val="1"/>
      </c:legendEntry>
      <c:legendEntry>
        <c:idx val="5"/>
        <c:delete val="1"/>
      </c:legendEntry>
      <c:legendEntry>
        <c:idx val="7"/>
        <c:delete val="1"/>
      </c:legendEntry>
      <c:legendEntry>
        <c:idx val="8"/>
        <c:delete val="1"/>
      </c:legendEntry>
      <c:legendEntry>
        <c:idx val="9"/>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es-EC"/>
        </a:p>
      </c:txPr>
    </c:legend>
    <c:plotVisOnly val="1"/>
    <c:dispBlanksAs val="gap"/>
    <c:showDLblsOverMax val="0"/>
  </c:chart>
  <c:spPr>
    <a:solidFill>
      <a:schemeClr val="bg1"/>
    </a:solidFill>
    <a:ln w="9525" cap="flat" cmpd="sng" algn="ctr">
      <a:noFill/>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spc="0" baseline="0">
                <a:ln>
                  <a:noFill/>
                </a:ln>
                <a:solidFill>
                  <a:schemeClr val="tx1"/>
                </a:solidFill>
                <a:latin typeface="Arial Narrow" panose="020B0606020202030204" pitchFamily="34" charset="0"/>
                <a:ea typeface="+mn-ea"/>
                <a:cs typeface="+mn-cs"/>
              </a:defRPr>
            </a:pPr>
            <a:r>
              <a:rPr lang="en-US" sz="1200" b="1">
                <a:solidFill>
                  <a:schemeClr val="tx1"/>
                </a:solidFill>
                <a:latin typeface="Arial Narrow" panose="020B0606020202030204" pitchFamily="34" charset="0"/>
              </a:rPr>
              <a:t>COMPORTAMIENTO (DESPUES)</a:t>
            </a:r>
          </a:p>
        </c:rich>
      </c:tx>
      <c:overlay val="0"/>
      <c:spPr>
        <a:noFill/>
        <a:ln>
          <a:noFill/>
        </a:ln>
        <a:effectLst/>
      </c:spPr>
      <c:txPr>
        <a:bodyPr rot="0" spcFirstLastPara="1" vertOverflow="ellipsis" vert="horz" wrap="square" anchor="ctr" anchorCtr="1"/>
        <a:lstStyle/>
        <a:p>
          <a:pPr>
            <a:defRPr sz="1200" b="1" i="0" u="none" strike="noStrike" kern="1200" spc="0" baseline="0">
              <a:ln>
                <a:noFill/>
              </a:ln>
              <a:solidFill>
                <a:schemeClr val="tx1"/>
              </a:solidFill>
              <a:latin typeface="Arial Narrow" panose="020B0606020202030204" pitchFamily="34" charset="0"/>
              <a:ea typeface="+mn-ea"/>
              <a:cs typeface="+mn-cs"/>
            </a:defRPr>
          </a:pPr>
          <a:endParaRPr lang="es-EC"/>
        </a:p>
      </c:txPr>
    </c:title>
    <c:autoTitleDeleted val="0"/>
    <c:plotArea>
      <c:layout/>
      <c:pieChart>
        <c:varyColors val="1"/>
        <c:ser>
          <c:idx val="0"/>
          <c:order val="0"/>
          <c:dPt>
            <c:idx val="0"/>
            <c:bubble3D val="0"/>
            <c:spPr>
              <a:solidFill>
                <a:schemeClr val="accent3">
                  <a:shade val="47000"/>
                </a:schemeClr>
              </a:solidFill>
              <a:ln w="19050">
                <a:noFill/>
              </a:ln>
              <a:effectLst/>
            </c:spPr>
            <c:extLst xmlns:c16r2="http://schemas.microsoft.com/office/drawing/2015/06/chart">
              <c:ext xmlns:c16="http://schemas.microsoft.com/office/drawing/2014/chart" uri="{C3380CC4-5D6E-409C-BE32-E72D297353CC}">
                <c16:uniqueId val="{00000001-D2C9-410B-BD70-0E8CE5E93D09}"/>
              </c:ext>
            </c:extLst>
          </c:dPt>
          <c:dPt>
            <c:idx val="1"/>
            <c:bubble3D val="0"/>
            <c:spPr>
              <a:solidFill>
                <a:schemeClr val="accent3">
                  <a:shade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D2C9-410B-BD70-0E8CE5E93D09}"/>
              </c:ext>
            </c:extLst>
          </c:dPt>
          <c:dPt>
            <c:idx val="2"/>
            <c:bubble3D val="0"/>
            <c:spPr>
              <a:solidFill>
                <a:schemeClr val="accent3">
                  <a:shade val="8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D2C9-410B-BD70-0E8CE5E93D09}"/>
              </c:ext>
            </c:extLst>
          </c:dPt>
          <c:dPt>
            <c:idx val="3"/>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7-D2C9-410B-BD70-0E8CE5E93D09}"/>
              </c:ext>
            </c:extLst>
          </c:dPt>
          <c:dPt>
            <c:idx val="4"/>
            <c:bubble3D val="0"/>
            <c:spPr>
              <a:solidFill>
                <a:schemeClr val="accent3">
                  <a:tint val="83000"/>
                </a:schemeClr>
              </a:solidFill>
              <a:ln w="19050">
                <a:noFill/>
              </a:ln>
              <a:effectLst/>
            </c:spPr>
            <c:extLst xmlns:c16r2="http://schemas.microsoft.com/office/drawing/2015/06/chart">
              <c:ext xmlns:c16="http://schemas.microsoft.com/office/drawing/2014/chart" uri="{C3380CC4-5D6E-409C-BE32-E72D297353CC}">
                <c16:uniqueId val="{00000009-D2C9-410B-BD70-0E8CE5E93D09}"/>
              </c:ext>
            </c:extLst>
          </c:dPt>
          <c:dPt>
            <c:idx val="5"/>
            <c:bubble3D val="0"/>
            <c:spPr>
              <a:solidFill>
                <a:schemeClr val="accent3">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D2C9-410B-BD70-0E8CE5E93D09}"/>
              </c:ext>
            </c:extLst>
          </c:dPt>
          <c:dPt>
            <c:idx val="6"/>
            <c:bubble3D val="0"/>
            <c:spPr>
              <a:solidFill>
                <a:schemeClr val="accent3">
                  <a:tint val="4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D2C9-410B-BD70-0E8CE5E93D09}"/>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solidFill>
                    <a:latin typeface="Arial Narrow" panose="020B0606020202030204" pitchFamily="34" charset="0"/>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'[COMPORTAMIENTO - Despues.xlsx]Hoja3'!$Q$4:$Q$10</c:f>
              <c:strCache>
                <c:ptCount val="5"/>
                <c:pt idx="0">
                  <c:v>Aceptable</c:v>
                </c:pt>
                <c:pt idx="4">
                  <c:v>No Aceptable</c:v>
                </c:pt>
              </c:strCache>
            </c:strRef>
          </c:cat>
          <c:val>
            <c:numRef>
              <c:f>'[COMPORTAMIENTO - Despues.xlsx]Hoja3'!$R$4:$R$10</c:f>
              <c:numCache>
                <c:formatCode>General</c:formatCode>
                <c:ptCount val="7"/>
                <c:pt idx="0">
                  <c:v>17</c:v>
                </c:pt>
                <c:pt idx="4">
                  <c:v>8</c:v>
                </c:pt>
              </c:numCache>
            </c:numRef>
          </c:val>
          <c:extLst xmlns:c16r2="http://schemas.microsoft.com/office/drawing/2015/06/chart">
            <c:ext xmlns:c16="http://schemas.microsoft.com/office/drawing/2014/chart" uri="{C3380CC4-5D6E-409C-BE32-E72D297353CC}">
              <c16:uniqueId val="{0000000E-D2C9-410B-BD70-0E8CE5E93D09}"/>
            </c:ext>
          </c:extLst>
        </c:ser>
        <c:dLbls>
          <c:showLegendKey val="0"/>
          <c:showVal val="0"/>
          <c:showCatName val="0"/>
          <c:showSerName val="0"/>
          <c:showPercent val="1"/>
          <c:showBubbleSize val="0"/>
          <c:showLeaderLines val="1"/>
        </c:dLbls>
        <c:firstSliceAng val="0"/>
      </c:pieChart>
      <c:spPr>
        <a:noFill/>
        <a:ln>
          <a:noFill/>
        </a:ln>
        <a:effectLst/>
      </c:spPr>
    </c:plotArea>
    <c:legend>
      <c:legendPos val="b"/>
      <c:legendEntry>
        <c:idx val="1"/>
        <c:delete val="1"/>
      </c:legendEntry>
      <c:legendEntry>
        <c:idx val="2"/>
        <c:delete val="1"/>
      </c:legendEntry>
      <c:legendEntry>
        <c:idx val="3"/>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1050" b="0" i="0" u="none" strike="noStrike" kern="1200" baseline="0">
              <a:ln>
                <a:noFill/>
              </a:ln>
              <a:solidFill>
                <a:schemeClr val="tx1"/>
              </a:solidFill>
              <a:latin typeface="Arial Narrow" panose="020B0606020202030204" pitchFamily="34" charset="0"/>
              <a:ea typeface="+mn-ea"/>
              <a:cs typeface="+mn-cs"/>
            </a:defRPr>
          </a:pPr>
          <a:endParaRPr lang="es-EC"/>
        </a:p>
      </c:txPr>
    </c:legend>
    <c:plotVisOnly val="1"/>
    <c:dispBlanksAs val="gap"/>
    <c:showDLblsOverMax val="0"/>
  </c:chart>
  <c:spPr>
    <a:noFill/>
    <a:ln w="9525" cap="flat" cmpd="sng" algn="ctr">
      <a:noFill/>
      <a:round/>
    </a:ln>
    <a:effectLst/>
  </c:spPr>
  <c:txPr>
    <a:bodyPr/>
    <a:lstStyle/>
    <a:p>
      <a:pPr>
        <a:defRPr>
          <a:ln>
            <a:noFill/>
          </a:ln>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Arial Narrow" panose="020B0606020202030204" pitchFamily="34" charset="0"/>
                <a:ea typeface="+mn-ea"/>
                <a:cs typeface="+mn-cs"/>
              </a:defRPr>
            </a:pPr>
            <a:r>
              <a:rPr lang="en-US" sz="1200" b="1">
                <a:solidFill>
                  <a:schemeClr val="tx1"/>
                </a:solidFill>
                <a:latin typeface="Arial Narrow" panose="020B0606020202030204" pitchFamily="34" charset="0"/>
              </a:rPr>
              <a:t>CONOCIMIENTO</a:t>
            </a:r>
            <a:r>
              <a:rPr lang="en-US" sz="1200" b="1" baseline="0">
                <a:solidFill>
                  <a:schemeClr val="tx1"/>
                </a:solidFill>
                <a:latin typeface="Arial Narrow" panose="020B0606020202030204" pitchFamily="34" charset="0"/>
              </a:rPr>
              <a:t> (DESPUES)</a:t>
            </a:r>
            <a:endParaRPr lang="en-US" sz="1200" b="1">
              <a:solidFill>
                <a:schemeClr val="tx1"/>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Arial Narrow" panose="020B0606020202030204" pitchFamily="34" charset="0"/>
              <a:ea typeface="+mn-ea"/>
              <a:cs typeface="+mn-cs"/>
            </a:defRPr>
          </a:pPr>
          <a:endParaRPr lang="es-EC"/>
        </a:p>
      </c:txPr>
    </c:title>
    <c:autoTitleDeleted val="0"/>
    <c:plotArea>
      <c:layout>
        <c:manualLayout>
          <c:layoutTarget val="inner"/>
          <c:xMode val="edge"/>
          <c:yMode val="edge"/>
          <c:x val="0.24495724530784016"/>
          <c:y val="0.20521398366870808"/>
          <c:w val="0.49386490922211368"/>
          <c:h val="0.56382910469524639"/>
        </c:manualLayout>
      </c:layout>
      <c:pieChart>
        <c:varyColors val="1"/>
        <c:ser>
          <c:idx val="0"/>
          <c:order val="0"/>
          <c:dPt>
            <c:idx val="0"/>
            <c:bubble3D val="0"/>
            <c:spPr>
              <a:solidFill>
                <a:schemeClr val="accent3">
                  <a:shade val="42000"/>
                </a:schemeClr>
              </a:solidFill>
              <a:ln w="19050">
                <a:noFill/>
              </a:ln>
              <a:effectLst/>
            </c:spPr>
            <c:extLst xmlns:c16r2="http://schemas.microsoft.com/office/drawing/2015/06/chart">
              <c:ext xmlns:c16="http://schemas.microsoft.com/office/drawing/2014/chart" uri="{C3380CC4-5D6E-409C-BE32-E72D297353CC}">
                <c16:uniqueId val="{00000001-8951-4975-ADF3-59AB3F7C2C0C}"/>
              </c:ext>
            </c:extLst>
          </c:dPt>
          <c:dPt>
            <c:idx val="1"/>
            <c:bubble3D val="0"/>
            <c:spPr>
              <a:solidFill>
                <a:schemeClr val="accent3">
                  <a:shade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8951-4975-ADF3-59AB3F7C2C0C}"/>
              </c:ext>
            </c:extLst>
          </c:dPt>
          <c:dPt>
            <c:idx val="2"/>
            <c:bubble3D val="0"/>
            <c:spPr>
              <a:solidFill>
                <a:schemeClr val="accent3">
                  <a:shade val="6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8951-4975-ADF3-59AB3F7C2C0C}"/>
              </c:ext>
            </c:extLst>
          </c:dPt>
          <c:dPt>
            <c:idx val="3"/>
            <c:bubble3D val="0"/>
            <c:spPr>
              <a:solidFill>
                <a:schemeClr val="accent3">
                  <a:shade val="80000"/>
                </a:schemeClr>
              </a:solidFill>
              <a:ln w="19050">
                <a:noFill/>
              </a:ln>
              <a:effectLst/>
            </c:spPr>
            <c:extLst xmlns:c16r2="http://schemas.microsoft.com/office/drawing/2015/06/chart">
              <c:ext xmlns:c16="http://schemas.microsoft.com/office/drawing/2014/chart" uri="{C3380CC4-5D6E-409C-BE32-E72D297353CC}">
                <c16:uniqueId val="{00000007-8951-4975-ADF3-59AB3F7C2C0C}"/>
              </c:ext>
            </c:extLst>
          </c:dPt>
          <c:dPt>
            <c:idx val="4"/>
            <c:bubble3D val="0"/>
            <c:spPr>
              <a:solidFill>
                <a:schemeClr val="accent3">
                  <a:shade val="9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8951-4975-ADF3-59AB3F7C2C0C}"/>
              </c:ext>
            </c:extLst>
          </c:dPt>
          <c:dPt>
            <c:idx val="5"/>
            <c:bubble3D val="0"/>
            <c:spPr>
              <a:solidFill>
                <a:schemeClr val="accent3">
                  <a:tint val="9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8951-4975-ADF3-59AB3F7C2C0C}"/>
              </c:ext>
            </c:extLst>
          </c:dPt>
          <c:dPt>
            <c:idx val="6"/>
            <c:bubble3D val="0"/>
            <c:spPr>
              <a:solidFill>
                <a:schemeClr val="accent3">
                  <a:tint val="81000"/>
                </a:schemeClr>
              </a:solidFill>
              <a:ln w="19050">
                <a:noFill/>
              </a:ln>
              <a:effectLst/>
            </c:spPr>
            <c:extLst xmlns:c16r2="http://schemas.microsoft.com/office/drawing/2015/06/chart">
              <c:ext xmlns:c16="http://schemas.microsoft.com/office/drawing/2014/chart" uri="{C3380CC4-5D6E-409C-BE32-E72D297353CC}">
                <c16:uniqueId val="{0000000D-8951-4975-ADF3-59AB3F7C2C0C}"/>
              </c:ext>
            </c:extLst>
          </c:dPt>
          <c:dPt>
            <c:idx val="7"/>
            <c:bubble3D val="0"/>
            <c:spPr>
              <a:solidFill>
                <a:schemeClr val="accent3">
                  <a:tint val="69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8951-4975-ADF3-59AB3F7C2C0C}"/>
              </c:ext>
            </c:extLst>
          </c:dPt>
          <c:dPt>
            <c:idx val="8"/>
            <c:bubble3D val="0"/>
            <c:spPr>
              <a:solidFill>
                <a:schemeClr val="accent3">
                  <a:tint val="5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8951-4975-ADF3-59AB3F7C2C0C}"/>
              </c:ext>
            </c:extLst>
          </c:dPt>
          <c:dPt>
            <c:idx val="9"/>
            <c:bubble3D val="0"/>
            <c:spPr>
              <a:solidFill>
                <a:schemeClr val="accent3">
                  <a:tint val="4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8951-4975-ADF3-59AB3F7C2C0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Hoja1!$P$14:$P$23</c:f>
              <c:strCache>
                <c:ptCount val="7"/>
                <c:pt idx="0">
                  <c:v>Bajo</c:v>
                </c:pt>
                <c:pt idx="3">
                  <c:v>Alto</c:v>
                </c:pt>
                <c:pt idx="6">
                  <c:v>Muy Alto</c:v>
                </c:pt>
              </c:strCache>
            </c:strRef>
          </c:cat>
          <c:val>
            <c:numRef>
              <c:f>Hoja1!$Q$14:$Q$23</c:f>
              <c:numCache>
                <c:formatCode>General</c:formatCode>
                <c:ptCount val="10"/>
                <c:pt idx="0">
                  <c:v>5</c:v>
                </c:pt>
                <c:pt idx="3">
                  <c:v>15</c:v>
                </c:pt>
                <c:pt idx="6">
                  <c:v>5</c:v>
                </c:pt>
              </c:numCache>
            </c:numRef>
          </c:val>
          <c:extLst xmlns:c16r2="http://schemas.microsoft.com/office/drawing/2015/06/chart">
            <c:ext xmlns:c16="http://schemas.microsoft.com/office/drawing/2014/chart" uri="{C3380CC4-5D6E-409C-BE32-E72D297353CC}">
              <c16:uniqueId val="{00000014-8951-4975-ADF3-59AB3F7C2C0C}"/>
            </c:ext>
          </c:extLst>
        </c:ser>
        <c:ser>
          <c:idx val="1"/>
          <c:order val="1"/>
          <c:dPt>
            <c:idx val="0"/>
            <c:bubble3D val="0"/>
            <c:spPr>
              <a:solidFill>
                <a:schemeClr val="accent3">
                  <a:shade val="4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6-8951-4975-ADF3-59AB3F7C2C0C}"/>
              </c:ext>
            </c:extLst>
          </c:dPt>
          <c:dPt>
            <c:idx val="1"/>
            <c:bubble3D val="0"/>
            <c:spPr>
              <a:solidFill>
                <a:schemeClr val="accent3">
                  <a:shade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8-8951-4975-ADF3-59AB3F7C2C0C}"/>
              </c:ext>
            </c:extLst>
          </c:dPt>
          <c:dPt>
            <c:idx val="2"/>
            <c:bubble3D val="0"/>
            <c:spPr>
              <a:solidFill>
                <a:schemeClr val="accent3">
                  <a:shade val="6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A-8951-4975-ADF3-59AB3F7C2C0C}"/>
              </c:ext>
            </c:extLst>
          </c:dPt>
          <c:dPt>
            <c:idx val="3"/>
            <c:bubble3D val="0"/>
            <c:spPr>
              <a:solidFill>
                <a:schemeClr val="accent3">
                  <a:shade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C-8951-4975-ADF3-59AB3F7C2C0C}"/>
              </c:ext>
            </c:extLst>
          </c:dPt>
          <c:dPt>
            <c:idx val="4"/>
            <c:bubble3D val="0"/>
            <c:spPr>
              <a:solidFill>
                <a:schemeClr val="accent3">
                  <a:shade val="9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E-8951-4975-ADF3-59AB3F7C2C0C}"/>
              </c:ext>
            </c:extLst>
          </c:dPt>
          <c:dPt>
            <c:idx val="5"/>
            <c:bubble3D val="0"/>
            <c:spPr>
              <a:solidFill>
                <a:schemeClr val="accent3">
                  <a:tint val="9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0-8951-4975-ADF3-59AB3F7C2C0C}"/>
              </c:ext>
            </c:extLst>
          </c:dPt>
          <c:dPt>
            <c:idx val="6"/>
            <c:bubble3D val="0"/>
            <c:spPr>
              <a:solidFill>
                <a:schemeClr val="accent3">
                  <a:tint val="81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2-8951-4975-ADF3-59AB3F7C2C0C}"/>
              </c:ext>
            </c:extLst>
          </c:dPt>
          <c:dPt>
            <c:idx val="7"/>
            <c:bubble3D val="0"/>
            <c:spPr>
              <a:solidFill>
                <a:schemeClr val="accent3">
                  <a:tint val="69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4-8951-4975-ADF3-59AB3F7C2C0C}"/>
              </c:ext>
            </c:extLst>
          </c:dPt>
          <c:dPt>
            <c:idx val="8"/>
            <c:bubble3D val="0"/>
            <c:spPr>
              <a:solidFill>
                <a:schemeClr val="accent3">
                  <a:tint val="5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6-8951-4975-ADF3-59AB3F7C2C0C}"/>
              </c:ext>
            </c:extLst>
          </c:dPt>
          <c:dPt>
            <c:idx val="9"/>
            <c:bubble3D val="0"/>
            <c:spPr>
              <a:solidFill>
                <a:schemeClr val="accent3">
                  <a:tint val="4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8-8951-4975-ADF3-59AB3F7C2C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Hoja1!$P$14:$P$23</c:f>
              <c:strCache>
                <c:ptCount val="7"/>
                <c:pt idx="0">
                  <c:v>Bajo</c:v>
                </c:pt>
                <c:pt idx="3">
                  <c:v>Alto</c:v>
                </c:pt>
                <c:pt idx="6">
                  <c:v>Muy Alto</c:v>
                </c:pt>
              </c:strCache>
            </c:strRef>
          </c:cat>
          <c:val>
            <c:numRef>
              <c:f>Hoja1!$R$14:$R$23</c:f>
              <c:numCache>
                <c:formatCode>General</c:formatCode>
                <c:ptCount val="10"/>
              </c:numCache>
            </c:numRef>
          </c:val>
          <c:extLst xmlns:c16r2="http://schemas.microsoft.com/office/drawing/2015/06/chart">
            <c:ext xmlns:c16="http://schemas.microsoft.com/office/drawing/2014/chart" uri="{C3380CC4-5D6E-409C-BE32-E72D297353CC}">
              <c16:uniqueId val="{00000029-8951-4975-ADF3-59AB3F7C2C0C}"/>
            </c:ext>
          </c:extLst>
        </c:ser>
        <c:dLbls>
          <c:showLegendKey val="0"/>
          <c:showVal val="0"/>
          <c:showCatName val="0"/>
          <c:showSerName val="0"/>
          <c:showPercent val="1"/>
          <c:showBubbleSize val="0"/>
          <c:showLeaderLines val="1"/>
        </c:dLbls>
        <c:firstSliceAng val="0"/>
      </c:pieChart>
      <c:spPr>
        <a:noFill/>
        <a:ln>
          <a:noFill/>
        </a:ln>
        <a:effectLst/>
      </c:spPr>
    </c:plotArea>
    <c:legend>
      <c:legendPos val="b"/>
      <c:legendEntry>
        <c:idx val="1"/>
        <c:delete val="1"/>
      </c:legendEntry>
      <c:legendEntry>
        <c:idx val="2"/>
        <c:delete val="1"/>
      </c:legendEntry>
      <c:legendEntry>
        <c:idx val="4"/>
        <c:delete val="1"/>
      </c:legendEntry>
      <c:legendEntry>
        <c:idx val="5"/>
        <c:delete val="1"/>
      </c:legendEntry>
      <c:legendEntry>
        <c:idx val="7"/>
        <c:delete val="1"/>
      </c:legendEntry>
      <c:legendEntry>
        <c:idx val="8"/>
        <c:delete val="1"/>
      </c:legendEntry>
      <c:legendEntry>
        <c:idx val="9"/>
        <c:delete val="1"/>
      </c:legendEntry>
      <c:layout>
        <c:manualLayout>
          <c:xMode val="edge"/>
          <c:yMode val="edge"/>
          <c:x val="0.24699344151324151"/>
          <c:y val="0.87809966462525513"/>
          <c:w val="0.497902816892414"/>
          <c:h val="8.486329833770778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es-EC"/>
        </a:p>
      </c:txPr>
    </c:legend>
    <c:plotVisOnly val="1"/>
    <c:dispBlanksAs val="gap"/>
    <c:showDLblsOverMax val="0"/>
  </c:chart>
  <c:spPr>
    <a:solidFill>
      <a:schemeClr val="bg1"/>
    </a:solidFill>
    <a:ln w="9525" cap="flat" cmpd="sng" algn="ctr">
      <a:noFill/>
      <a:round/>
    </a:ln>
    <a:effectLst/>
  </c:spPr>
  <c:txPr>
    <a:bodyPr/>
    <a:lstStyle/>
    <a:p>
      <a:pPr>
        <a:defRPr/>
      </a:pPr>
      <a:endParaRPr lang="es-EC"/>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Arial Narrow" panose="020B0606020202030204" pitchFamily="34" charset="0"/>
                <a:ea typeface="+mn-ea"/>
                <a:cs typeface="+mn-cs"/>
              </a:defRPr>
            </a:pPr>
            <a:r>
              <a:rPr lang="en-US" sz="1200" b="1">
                <a:solidFill>
                  <a:schemeClr val="tx1"/>
                </a:solidFill>
                <a:latin typeface="Arial Narrow" panose="020B0606020202030204" pitchFamily="34" charset="0"/>
              </a:rPr>
              <a:t>CONOCIMIENTO</a:t>
            </a:r>
            <a:r>
              <a:rPr lang="en-US" sz="1200" b="1" baseline="0">
                <a:solidFill>
                  <a:schemeClr val="tx1"/>
                </a:solidFill>
                <a:latin typeface="Arial Narrow" panose="020B0606020202030204" pitchFamily="34" charset="0"/>
              </a:rPr>
              <a:t> (DESPUES)</a:t>
            </a:r>
            <a:endParaRPr lang="en-US" sz="1200" b="1">
              <a:solidFill>
                <a:schemeClr val="tx1"/>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Arial Narrow" panose="020B0606020202030204" pitchFamily="34" charset="0"/>
              <a:ea typeface="+mn-ea"/>
              <a:cs typeface="+mn-cs"/>
            </a:defRPr>
          </a:pPr>
          <a:endParaRPr lang="es-EC"/>
        </a:p>
      </c:txPr>
    </c:title>
    <c:autoTitleDeleted val="0"/>
    <c:plotArea>
      <c:layout>
        <c:manualLayout>
          <c:layoutTarget val="inner"/>
          <c:xMode val="edge"/>
          <c:yMode val="edge"/>
          <c:x val="0.24495724530784016"/>
          <c:y val="0.20521398366870808"/>
          <c:w val="0.49386490922211368"/>
          <c:h val="0.56382910469524639"/>
        </c:manualLayout>
      </c:layout>
      <c:pieChart>
        <c:varyColors val="1"/>
        <c:ser>
          <c:idx val="0"/>
          <c:order val="0"/>
          <c:dPt>
            <c:idx val="0"/>
            <c:bubble3D val="0"/>
            <c:spPr>
              <a:solidFill>
                <a:schemeClr val="accent3">
                  <a:shade val="42000"/>
                </a:schemeClr>
              </a:solidFill>
              <a:ln w="19050">
                <a:noFill/>
              </a:ln>
              <a:effectLst/>
            </c:spPr>
            <c:extLst>
              <c:ext xmlns:c16="http://schemas.microsoft.com/office/drawing/2014/chart" uri="{C3380CC4-5D6E-409C-BE32-E72D297353CC}">
                <c16:uniqueId val="{00000001-8951-4975-ADF3-59AB3F7C2C0C}"/>
              </c:ext>
            </c:extLst>
          </c:dPt>
          <c:dPt>
            <c:idx val="1"/>
            <c:bubble3D val="0"/>
            <c:spPr>
              <a:solidFill>
                <a:schemeClr val="accent3">
                  <a:shade val="55000"/>
                </a:schemeClr>
              </a:solidFill>
              <a:ln w="19050">
                <a:solidFill>
                  <a:schemeClr val="lt1"/>
                </a:solidFill>
              </a:ln>
              <a:effectLst/>
            </c:spPr>
            <c:extLst>
              <c:ext xmlns:c16="http://schemas.microsoft.com/office/drawing/2014/chart" uri="{C3380CC4-5D6E-409C-BE32-E72D297353CC}">
                <c16:uniqueId val="{00000003-8951-4975-ADF3-59AB3F7C2C0C}"/>
              </c:ext>
            </c:extLst>
          </c:dPt>
          <c:dPt>
            <c:idx val="2"/>
            <c:bubble3D val="0"/>
            <c:spPr>
              <a:solidFill>
                <a:schemeClr val="accent3">
                  <a:shade val="68000"/>
                </a:schemeClr>
              </a:solidFill>
              <a:ln w="19050">
                <a:solidFill>
                  <a:schemeClr val="lt1"/>
                </a:solidFill>
              </a:ln>
              <a:effectLst/>
            </c:spPr>
            <c:extLst>
              <c:ext xmlns:c16="http://schemas.microsoft.com/office/drawing/2014/chart" uri="{C3380CC4-5D6E-409C-BE32-E72D297353CC}">
                <c16:uniqueId val="{00000005-8951-4975-ADF3-59AB3F7C2C0C}"/>
              </c:ext>
            </c:extLst>
          </c:dPt>
          <c:dPt>
            <c:idx val="3"/>
            <c:bubble3D val="0"/>
            <c:spPr>
              <a:solidFill>
                <a:schemeClr val="accent3">
                  <a:shade val="80000"/>
                </a:schemeClr>
              </a:solidFill>
              <a:ln w="19050">
                <a:noFill/>
              </a:ln>
              <a:effectLst/>
            </c:spPr>
            <c:extLst>
              <c:ext xmlns:c16="http://schemas.microsoft.com/office/drawing/2014/chart" uri="{C3380CC4-5D6E-409C-BE32-E72D297353CC}">
                <c16:uniqueId val="{00000007-8951-4975-ADF3-59AB3F7C2C0C}"/>
              </c:ext>
            </c:extLst>
          </c:dPt>
          <c:dPt>
            <c:idx val="4"/>
            <c:bubble3D val="0"/>
            <c:spPr>
              <a:solidFill>
                <a:schemeClr val="accent3">
                  <a:shade val="93000"/>
                </a:schemeClr>
              </a:solidFill>
              <a:ln w="19050">
                <a:solidFill>
                  <a:schemeClr val="lt1"/>
                </a:solidFill>
              </a:ln>
              <a:effectLst/>
            </c:spPr>
            <c:extLst>
              <c:ext xmlns:c16="http://schemas.microsoft.com/office/drawing/2014/chart" uri="{C3380CC4-5D6E-409C-BE32-E72D297353CC}">
                <c16:uniqueId val="{00000009-8951-4975-ADF3-59AB3F7C2C0C}"/>
              </c:ext>
            </c:extLst>
          </c:dPt>
          <c:dPt>
            <c:idx val="5"/>
            <c:bubble3D val="0"/>
            <c:spPr>
              <a:solidFill>
                <a:schemeClr val="accent3">
                  <a:tint val="94000"/>
                </a:schemeClr>
              </a:solidFill>
              <a:ln w="19050">
                <a:solidFill>
                  <a:schemeClr val="lt1"/>
                </a:solidFill>
              </a:ln>
              <a:effectLst/>
            </c:spPr>
            <c:extLst>
              <c:ext xmlns:c16="http://schemas.microsoft.com/office/drawing/2014/chart" uri="{C3380CC4-5D6E-409C-BE32-E72D297353CC}">
                <c16:uniqueId val="{0000000B-8951-4975-ADF3-59AB3F7C2C0C}"/>
              </c:ext>
            </c:extLst>
          </c:dPt>
          <c:dPt>
            <c:idx val="6"/>
            <c:bubble3D val="0"/>
            <c:spPr>
              <a:solidFill>
                <a:schemeClr val="accent3">
                  <a:tint val="81000"/>
                </a:schemeClr>
              </a:solidFill>
              <a:ln w="19050">
                <a:noFill/>
              </a:ln>
              <a:effectLst/>
            </c:spPr>
            <c:extLst>
              <c:ext xmlns:c16="http://schemas.microsoft.com/office/drawing/2014/chart" uri="{C3380CC4-5D6E-409C-BE32-E72D297353CC}">
                <c16:uniqueId val="{0000000D-8951-4975-ADF3-59AB3F7C2C0C}"/>
              </c:ext>
            </c:extLst>
          </c:dPt>
          <c:dPt>
            <c:idx val="7"/>
            <c:bubble3D val="0"/>
            <c:spPr>
              <a:solidFill>
                <a:schemeClr val="accent3">
                  <a:tint val="69000"/>
                </a:schemeClr>
              </a:solidFill>
              <a:ln w="19050">
                <a:solidFill>
                  <a:schemeClr val="lt1"/>
                </a:solidFill>
              </a:ln>
              <a:effectLst/>
            </c:spPr>
            <c:extLst>
              <c:ext xmlns:c16="http://schemas.microsoft.com/office/drawing/2014/chart" uri="{C3380CC4-5D6E-409C-BE32-E72D297353CC}">
                <c16:uniqueId val="{0000000F-8951-4975-ADF3-59AB3F7C2C0C}"/>
              </c:ext>
            </c:extLst>
          </c:dPt>
          <c:dPt>
            <c:idx val="8"/>
            <c:bubble3D val="0"/>
            <c:spPr>
              <a:solidFill>
                <a:schemeClr val="accent3">
                  <a:tint val="56000"/>
                </a:schemeClr>
              </a:solidFill>
              <a:ln w="19050">
                <a:solidFill>
                  <a:schemeClr val="lt1"/>
                </a:solidFill>
              </a:ln>
              <a:effectLst/>
            </c:spPr>
            <c:extLst>
              <c:ext xmlns:c16="http://schemas.microsoft.com/office/drawing/2014/chart" uri="{C3380CC4-5D6E-409C-BE32-E72D297353CC}">
                <c16:uniqueId val="{00000011-8951-4975-ADF3-59AB3F7C2C0C}"/>
              </c:ext>
            </c:extLst>
          </c:dPt>
          <c:dPt>
            <c:idx val="9"/>
            <c:bubble3D val="0"/>
            <c:spPr>
              <a:solidFill>
                <a:schemeClr val="accent3">
                  <a:tint val="43000"/>
                </a:schemeClr>
              </a:solidFill>
              <a:ln w="19050">
                <a:solidFill>
                  <a:schemeClr val="lt1"/>
                </a:solidFill>
              </a:ln>
              <a:effectLst/>
            </c:spPr>
            <c:extLst>
              <c:ext xmlns:c16="http://schemas.microsoft.com/office/drawing/2014/chart" uri="{C3380CC4-5D6E-409C-BE32-E72D297353CC}">
                <c16:uniqueId val="{00000013-8951-4975-ADF3-59AB3F7C2C0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Hoja1!$P$14:$P$23</c:f>
              <c:strCache>
                <c:ptCount val="7"/>
                <c:pt idx="0">
                  <c:v>Bajo</c:v>
                </c:pt>
                <c:pt idx="3">
                  <c:v>Alto</c:v>
                </c:pt>
                <c:pt idx="6">
                  <c:v>Muy Alto</c:v>
                </c:pt>
              </c:strCache>
            </c:strRef>
          </c:cat>
          <c:val>
            <c:numRef>
              <c:f>Hoja1!$Q$14:$Q$23</c:f>
              <c:numCache>
                <c:formatCode>General</c:formatCode>
                <c:ptCount val="10"/>
                <c:pt idx="0">
                  <c:v>5</c:v>
                </c:pt>
                <c:pt idx="3">
                  <c:v>15</c:v>
                </c:pt>
                <c:pt idx="6">
                  <c:v>5</c:v>
                </c:pt>
              </c:numCache>
            </c:numRef>
          </c:val>
          <c:extLst>
            <c:ext xmlns:c16="http://schemas.microsoft.com/office/drawing/2014/chart" uri="{C3380CC4-5D6E-409C-BE32-E72D297353CC}">
              <c16:uniqueId val="{00000014-8951-4975-ADF3-59AB3F7C2C0C}"/>
            </c:ext>
          </c:extLst>
        </c:ser>
        <c:ser>
          <c:idx val="1"/>
          <c:order val="1"/>
          <c:dPt>
            <c:idx val="0"/>
            <c:bubble3D val="0"/>
            <c:spPr>
              <a:solidFill>
                <a:schemeClr val="accent3">
                  <a:shade val="42000"/>
                </a:schemeClr>
              </a:solidFill>
              <a:ln w="19050">
                <a:solidFill>
                  <a:schemeClr val="lt1"/>
                </a:solidFill>
              </a:ln>
              <a:effectLst/>
            </c:spPr>
            <c:extLst>
              <c:ext xmlns:c16="http://schemas.microsoft.com/office/drawing/2014/chart" uri="{C3380CC4-5D6E-409C-BE32-E72D297353CC}">
                <c16:uniqueId val="{00000016-8951-4975-ADF3-59AB3F7C2C0C}"/>
              </c:ext>
            </c:extLst>
          </c:dPt>
          <c:dPt>
            <c:idx val="1"/>
            <c:bubble3D val="0"/>
            <c:spPr>
              <a:solidFill>
                <a:schemeClr val="accent3">
                  <a:shade val="55000"/>
                </a:schemeClr>
              </a:solidFill>
              <a:ln w="19050">
                <a:solidFill>
                  <a:schemeClr val="lt1"/>
                </a:solidFill>
              </a:ln>
              <a:effectLst/>
            </c:spPr>
            <c:extLst>
              <c:ext xmlns:c16="http://schemas.microsoft.com/office/drawing/2014/chart" uri="{C3380CC4-5D6E-409C-BE32-E72D297353CC}">
                <c16:uniqueId val="{00000018-8951-4975-ADF3-59AB3F7C2C0C}"/>
              </c:ext>
            </c:extLst>
          </c:dPt>
          <c:dPt>
            <c:idx val="2"/>
            <c:bubble3D val="0"/>
            <c:spPr>
              <a:solidFill>
                <a:schemeClr val="accent3">
                  <a:shade val="68000"/>
                </a:schemeClr>
              </a:solidFill>
              <a:ln w="19050">
                <a:solidFill>
                  <a:schemeClr val="lt1"/>
                </a:solidFill>
              </a:ln>
              <a:effectLst/>
            </c:spPr>
            <c:extLst>
              <c:ext xmlns:c16="http://schemas.microsoft.com/office/drawing/2014/chart" uri="{C3380CC4-5D6E-409C-BE32-E72D297353CC}">
                <c16:uniqueId val="{0000001A-8951-4975-ADF3-59AB3F7C2C0C}"/>
              </c:ext>
            </c:extLst>
          </c:dPt>
          <c:dPt>
            <c:idx val="3"/>
            <c:bubble3D val="0"/>
            <c:spPr>
              <a:solidFill>
                <a:schemeClr val="accent3">
                  <a:shade val="80000"/>
                </a:schemeClr>
              </a:solidFill>
              <a:ln w="19050">
                <a:solidFill>
                  <a:schemeClr val="lt1"/>
                </a:solidFill>
              </a:ln>
              <a:effectLst/>
            </c:spPr>
            <c:extLst>
              <c:ext xmlns:c16="http://schemas.microsoft.com/office/drawing/2014/chart" uri="{C3380CC4-5D6E-409C-BE32-E72D297353CC}">
                <c16:uniqueId val="{0000001C-8951-4975-ADF3-59AB3F7C2C0C}"/>
              </c:ext>
            </c:extLst>
          </c:dPt>
          <c:dPt>
            <c:idx val="4"/>
            <c:bubble3D val="0"/>
            <c:spPr>
              <a:solidFill>
                <a:schemeClr val="accent3">
                  <a:shade val="93000"/>
                </a:schemeClr>
              </a:solidFill>
              <a:ln w="19050">
                <a:solidFill>
                  <a:schemeClr val="lt1"/>
                </a:solidFill>
              </a:ln>
              <a:effectLst/>
            </c:spPr>
            <c:extLst>
              <c:ext xmlns:c16="http://schemas.microsoft.com/office/drawing/2014/chart" uri="{C3380CC4-5D6E-409C-BE32-E72D297353CC}">
                <c16:uniqueId val="{0000001E-8951-4975-ADF3-59AB3F7C2C0C}"/>
              </c:ext>
            </c:extLst>
          </c:dPt>
          <c:dPt>
            <c:idx val="5"/>
            <c:bubble3D val="0"/>
            <c:spPr>
              <a:solidFill>
                <a:schemeClr val="accent3">
                  <a:tint val="94000"/>
                </a:schemeClr>
              </a:solidFill>
              <a:ln w="19050">
                <a:solidFill>
                  <a:schemeClr val="lt1"/>
                </a:solidFill>
              </a:ln>
              <a:effectLst/>
            </c:spPr>
            <c:extLst>
              <c:ext xmlns:c16="http://schemas.microsoft.com/office/drawing/2014/chart" uri="{C3380CC4-5D6E-409C-BE32-E72D297353CC}">
                <c16:uniqueId val="{00000020-8951-4975-ADF3-59AB3F7C2C0C}"/>
              </c:ext>
            </c:extLst>
          </c:dPt>
          <c:dPt>
            <c:idx val="6"/>
            <c:bubble3D val="0"/>
            <c:spPr>
              <a:solidFill>
                <a:schemeClr val="accent3">
                  <a:tint val="81000"/>
                </a:schemeClr>
              </a:solidFill>
              <a:ln w="19050">
                <a:solidFill>
                  <a:schemeClr val="lt1"/>
                </a:solidFill>
              </a:ln>
              <a:effectLst/>
            </c:spPr>
            <c:extLst>
              <c:ext xmlns:c16="http://schemas.microsoft.com/office/drawing/2014/chart" uri="{C3380CC4-5D6E-409C-BE32-E72D297353CC}">
                <c16:uniqueId val="{00000022-8951-4975-ADF3-59AB3F7C2C0C}"/>
              </c:ext>
            </c:extLst>
          </c:dPt>
          <c:dPt>
            <c:idx val="7"/>
            <c:bubble3D val="0"/>
            <c:spPr>
              <a:solidFill>
                <a:schemeClr val="accent3">
                  <a:tint val="69000"/>
                </a:schemeClr>
              </a:solidFill>
              <a:ln w="19050">
                <a:solidFill>
                  <a:schemeClr val="lt1"/>
                </a:solidFill>
              </a:ln>
              <a:effectLst/>
            </c:spPr>
            <c:extLst>
              <c:ext xmlns:c16="http://schemas.microsoft.com/office/drawing/2014/chart" uri="{C3380CC4-5D6E-409C-BE32-E72D297353CC}">
                <c16:uniqueId val="{00000024-8951-4975-ADF3-59AB3F7C2C0C}"/>
              </c:ext>
            </c:extLst>
          </c:dPt>
          <c:dPt>
            <c:idx val="8"/>
            <c:bubble3D val="0"/>
            <c:spPr>
              <a:solidFill>
                <a:schemeClr val="accent3">
                  <a:tint val="56000"/>
                </a:schemeClr>
              </a:solidFill>
              <a:ln w="19050">
                <a:solidFill>
                  <a:schemeClr val="lt1"/>
                </a:solidFill>
              </a:ln>
              <a:effectLst/>
            </c:spPr>
            <c:extLst>
              <c:ext xmlns:c16="http://schemas.microsoft.com/office/drawing/2014/chart" uri="{C3380CC4-5D6E-409C-BE32-E72D297353CC}">
                <c16:uniqueId val="{00000026-8951-4975-ADF3-59AB3F7C2C0C}"/>
              </c:ext>
            </c:extLst>
          </c:dPt>
          <c:dPt>
            <c:idx val="9"/>
            <c:bubble3D val="0"/>
            <c:spPr>
              <a:solidFill>
                <a:schemeClr val="accent3">
                  <a:tint val="43000"/>
                </a:schemeClr>
              </a:solidFill>
              <a:ln w="19050">
                <a:solidFill>
                  <a:schemeClr val="lt1"/>
                </a:solidFill>
              </a:ln>
              <a:effectLst/>
            </c:spPr>
            <c:extLst>
              <c:ext xmlns:c16="http://schemas.microsoft.com/office/drawing/2014/chart" uri="{C3380CC4-5D6E-409C-BE32-E72D297353CC}">
                <c16:uniqueId val="{00000028-8951-4975-ADF3-59AB3F7C2C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Hoja1!$P$14:$P$23</c:f>
              <c:strCache>
                <c:ptCount val="7"/>
                <c:pt idx="0">
                  <c:v>Bajo</c:v>
                </c:pt>
                <c:pt idx="3">
                  <c:v>Alto</c:v>
                </c:pt>
                <c:pt idx="6">
                  <c:v>Muy Alto</c:v>
                </c:pt>
              </c:strCache>
            </c:strRef>
          </c:cat>
          <c:val>
            <c:numRef>
              <c:f>Hoja1!$R$14:$R$23</c:f>
              <c:numCache>
                <c:formatCode>General</c:formatCode>
                <c:ptCount val="10"/>
              </c:numCache>
            </c:numRef>
          </c:val>
          <c:extLst>
            <c:ext xmlns:c16="http://schemas.microsoft.com/office/drawing/2014/chart" uri="{C3380CC4-5D6E-409C-BE32-E72D297353CC}">
              <c16:uniqueId val="{00000029-8951-4975-ADF3-59AB3F7C2C0C}"/>
            </c:ext>
          </c:extLst>
        </c:ser>
        <c:dLbls>
          <c:showLegendKey val="0"/>
          <c:showVal val="0"/>
          <c:showCatName val="0"/>
          <c:showSerName val="0"/>
          <c:showPercent val="1"/>
          <c:showBubbleSize val="0"/>
          <c:showLeaderLines val="1"/>
        </c:dLbls>
        <c:firstSliceAng val="0"/>
      </c:pieChart>
      <c:spPr>
        <a:noFill/>
        <a:ln>
          <a:noFill/>
        </a:ln>
        <a:effectLst/>
      </c:spPr>
    </c:plotArea>
    <c:legend>
      <c:legendPos val="b"/>
      <c:legendEntry>
        <c:idx val="1"/>
        <c:delete val="1"/>
      </c:legendEntry>
      <c:legendEntry>
        <c:idx val="2"/>
        <c:delete val="1"/>
      </c:legendEntry>
      <c:legendEntry>
        <c:idx val="4"/>
        <c:delete val="1"/>
      </c:legendEntry>
      <c:legendEntry>
        <c:idx val="5"/>
        <c:delete val="1"/>
      </c:legendEntry>
      <c:legendEntry>
        <c:idx val="7"/>
        <c:delete val="1"/>
      </c:legendEntry>
      <c:legendEntry>
        <c:idx val="8"/>
        <c:delete val="1"/>
      </c:legendEntry>
      <c:legendEntry>
        <c:idx val="9"/>
        <c:delete val="1"/>
      </c:legendEntry>
      <c:layout>
        <c:manualLayout>
          <c:xMode val="edge"/>
          <c:yMode val="edge"/>
          <c:x val="0.24699344151324151"/>
          <c:y val="0.87809966462525513"/>
          <c:w val="0.497902816892414"/>
          <c:h val="8.486329833770778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es-EC"/>
        </a:p>
      </c:txPr>
    </c:legend>
    <c:plotVisOnly val="1"/>
    <c:dispBlanksAs val="gap"/>
    <c:showDLblsOverMax val="0"/>
  </c:chart>
  <c:spPr>
    <a:solidFill>
      <a:schemeClr val="bg1"/>
    </a:solidFill>
    <a:ln w="9525" cap="flat" cmpd="sng" algn="ctr">
      <a:no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40.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A8D4F5-D9C8-42C0-987B-8E7501AC06F7}"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lang="es-ES"/>
        </a:p>
      </dgm:t>
    </dgm:pt>
    <dgm:pt modelId="{269BF9EC-4879-4152-8C4F-9C86A5F5E895}">
      <dgm:prSet phldrT="[Texto]" custT="1"/>
      <dgm:spPr/>
      <dgm:t>
        <a:bodyPr/>
        <a:lstStyle/>
        <a:p>
          <a:r>
            <a:rPr lang="es-ES" sz="1050">
              <a:latin typeface="Arial Narrow" panose="020B0606020202030204" pitchFamily="34" charset="0"/>
            </a:rPr>
            <a:t>Llegada al mercado en vehiculo propio, particular o a pie. </a:t>
          </a:r>
        </a:p>
      </dgm:t>
    </dgm:pt>
    <dgm:pt modelId="{017EBF84-B509-4E64-B2A1-F66514E081DD}" type="parTrans" cxnId="{CDDEE027-1A7E-4EBC-8B02-86CFC52BF46B}">
      <dgm:prSet/>
      <dgm:spPr/>
      <dgm:t>
        <a:bodyPr/>
        <a:lstStyle/>
        <a:p>
          <a:endParaRPr lang="es-ES" sz="1400"/>
        </a:p>
      </dgm:t>
    </dgm:pt>
    <dgm:pt modelId="{952F8393-087B-4032-BE8C-CEE65819524D}" type="sibTrans" cxnId="{CDDEE027-1A7E-4EBC-8B02-86CFC52BF46B}">
      <dgm:prSet custT="1"/>
      <dgm:spPr/>
      <dgm:t>
        <a:bodyPr/>
        <a:lstStyle/>
        <a:p>
          <a:endParaRPr lang="es-ES" sz="300"/>
        </a:p>
      </dgm:t>
    </dgm:pt>
    <dgm:pt modelId="{5F9F18FB-63FF-462C-A16D-1AC30E1753C1}">
      <dgm:prSet phldrT="[Texto]" custT="1"/>
      <dgm:spPr/>
      <dgm:t>
        <a:bodyPr/>
        <a:lstStyle/>
        <a:p>
          <a:r>
            <a:rPr lang="es-ES" sz="1050">
              <a:latin typeface="Arial Narrow" panose="020B0606020202030204" pitchFamily="34" charset="0"/>
            </a:rPr>
            <a:t>Registro e ingreso al mercado.</a:t>
          </a:r>
        </a:p>
      </dgm:t>
    </dgm:pt>
    <dgm:pt modelId="{83B26F07-1759-491B-B616-514244BA37A5}" type="parTrans" cxnId="{3FF72C55-E6D9-4AB3-A738-77ED09E9CA95}">
      <dgm:prSet/>
      <dgm:spPr/>
      <dgm:t>
        <a:bodyPr/>
        <a:lstStyle/>
        <a:p>
          <a:endParaRPr lang="es-ES" sz="1400"/>
        </a:p>
      </dgm:t>
    </dgm:pt>
    <dgm:pt modelId="{05B85418-206C-42A6-A4CF-391A8796343A}" type="sibTrans" cxnId="{3FF72C55-E6D9-4AB3-A738-77ED09E9CA95}">
      <dgm:prSet custT="1"/>
      <dgm:spPr/>
      <dgm:t>
        <a:bodyPr/>
        <a:lstStyle/>
        <a:p>
          <a:endParaRPr lang="es-ES" sz="300"/>
        </a:p>
      </dgm:t>
    </dgm:pt>
    <dgm:pt modelId="{2A48E04B-79D1-4184-B8DB-2DA4CC0AB130}">
      <dgm:prSet phldrT="[Texto]" custT="1"/>
      <dgm:spPr/>
      <dgm:t>
        <a:bodyPr/>
        <a:lstStyle/>
        <a:p>
          <a:r>
            <a:rPr lang="es-ES" sz="1050">
              <a:latin typeface="Arial Narrow" panose="020B0606020202030204" pitchFamily="34" charset="0"/>
            </a:rPr>
            <a:t>Dirigirse a su local.</a:t>
          </a:r>
        </a:p>
      </dgm:t>
    </dgm:pt>
    <dgm:pt modelId="{125B7FE3-9D88-45EA-8A22-A725F2309D7C}" type="parTrans" cxnId="{2250AFC7-4DAD-439B-9498-9CEA507C9710}">
      <dgm:prSet/>
      <dgm:spPr/>
      <dgm:t>
        <a:bodyPr/>
        <a:lstStyle/>
        <a:p>
          <a:endParaRPr lang="es-ES" sz="1400"/>
        </a:p>
      </dgm:t>
    </dgm:pt>
    <dgm:pt modelId="{81202DC0-B87C-4F89-9B50-FD465C044B1A}" type="sibTrans" cxnId="{2250AFC7-4DAD-439B-9498-9CEA507C9710}">
      <dgm:prSet custT="1"/>
      <dgm:spPr/>
      <dgm:t>
        <a:bodyPr/>
        <a:lstStyle/>
        <a:p>
          <a:endParaRPr lang="es-ES" sz="300"/>
        </a:p>
      </dgm:t>
    </dgm:pt>
    <dgm:pt modelId="{674BBE8A-1C31-4B5B-9A8A-EBD225EEC097}">
      <dgm:prSet custT="1"/>
      <dgm:spPr/>
      <dgm:t>
        <a:bodyPr/>
        <a:lstStyle/>
        <a:p>
          <a:r>
            <a:rPr lang="es-ES" sz="1050">
              <a:latin typeface="Arial Narrow" panose="020B0606020202030204" pitchFamily="34" charset="0"/>
            </a:rPr>
            <a:t>Aseo del local.</a:t>
          </a:r>
        </a:p>
      </dgm:t>
    </dgm:pt>
    <dgm:pt modelId="{F88D1421-D55D-406E-AAAC-B6D37761D44B}" type="parTrans" cxnId="{36A8A70B-D277-4C53-8047-073D37E87106}">
      <dgm:prSet/>
      <dgm:spPr/>
      <dgm:t>
        <a:bodyPr/>
        <a:lstStyle/>
        <a:p>
          <a:endParaRPr lang="es-ES" sz="1400"/>
        </a:p>
      </dgm:t>
    </dgm:pt>
    <dgm:pt modelId="{F2619AA4-0897-47EC-9BF2-0285EDD9F2F8}" type="sibTrans" cxnId="{36A8A70B-D277-4C53-8047-073D37E87106}">
      <dgm:prSet custT="1"/>
      <dgm:spPr/>
      <dgm:t>
        <a:bodyPr/>
        <a:lstStyle/>
        <a:p>
          <a:endParaRPr lang="es-ES" sz="300"/>
        </a:p>
      </dgm:t>
    </dgm:pt>
    <dgm:pt modelId="{DCC2C3D9-E146-4F4C-BBC1-9055A3C2ACFE}">
      <dgm:prSet custT="1"/>
      <dgm:spPr/>
      <dgm:t>
        <a:bodyPr/>
        <a:lstStyle/>
        <a:p>
          <a:r>
            <a:rPr lang="es-ES" sz="1050">
              <a:latin typeface="Arial Narrow" panose="020B0606020202030204" pitchFamily="34" charset="0"/>
            </a:rPr>
            <a:t>Exhivir y vender productos.</a:t>
          </a:r>
        </a:p>
      </dgm:t>
    </dgm:pt>
    <dgm:pt modelId="{B7EB7B71-80E3-477B-8D12-4B080A6F4193}" type="parTrans" cxnId="{5675CC23-8456-4154-94AD-7972621C1AED}">
      <dgm:prSet/>
      <dgm:spPr/>
      <dgm:t>
        <a:bodyPr/>
        <a:lstStyle/>
        <a:p>
          <a:endParaRPr lang="es-ES" sz="1400"/>
        </a:p>
      </dgm:t>
    </dgm:pt>
    <dgm:pt modelId="{FD16E612-3777-41D1-8150-10D0D5748EF5}" type="sibTrans" cxnId="{5675CC23-8456-4154-94AD-7972621C1AED}">
      <dgm:prSet custT="1"/>
      <dgm:spPr/>
      <dgm:t>
        <a:bodyPr/>
        <a:lstStyle/>
        <a:p>
          <a:endParaRPr lang="es-ES" sz="300"/>
        </a:p>
      </dgm:t>
    </dgm:pt>
    <dgm:pt modelId="{47FD041C-042D-4EB1-88E0-0467707BFD35}">
      <dgm:prSet custT="1"/>
      <dgm:spPr/>
      <dgm:t>
        <a:bodyPr/>
        <a:lstStyle/>
        <a:p>
          <a:r>
            <a:rPr lang="es-ES" sz="1050">
              <a:latin typeface="Arial Narrow" panose="020B0606020202030204" pitchFamily="34" charset="0"/>
            </a:rPr>
            <a:t> Almorzar.</a:t>
          </a:r>
        </a:p>
      </dgm:t>
    </dgm:pt>
    <dgm:pt modelId="{29B79999-A2AC-461D-88B6-05DB4C38BDEE}" type="parTrans" cxnId="{92CE10CF-89DA-4754-8516-A29D6C63BC57}">
      <dgm:prSet/>
      <dgm:spPr/>
      <dgm:t>
        <a:bodyPr/>
        <a:lstStyle/>
        <a:p>
          <a:endParaRPr lang="es-ES" sz="1400"/>
        </a:p>
      </dgm:t>
    </dgm:pt>
    <dgm:pt modelId="{5564D8C1-D32B-4E20-B6FA-9EABE465983A}" type="sibTrans" cxnId="{92CE10CF-89DA-4754-8516-A29D6C63BC57}">
      <dgm:prSet custT="1"/>
      <dgm:spPr/>
      <dgm:t>
        <a:bodyPr/>
        <a:lstStyle/>
        <a:p>
          <a:endParaRPr lang="es-ES" sz="300"/>
        </a:p>
      </dgm:t>
    </dgm:pt>
    <dgm:pt modelId="{A8849EFD-8AE6-4E7C-87A9-6454D18BEC02}">
      <dgm:prSet custT="1"/>
      <dgm:spPr/>
      <dgm:t>
        <a:bodyPr/>
        <a:lstStyle/>
        <a:p>
          <a:r>
            <a:rPr lang="es-ES" sz="1050">
              <a:latin typeface="Arial Narrow" panose="020B0606020202030204" pitchFamily="34" charset="0"/>
            </a:rPr>
            <a:t>Organizar sus productos para guardarlos.</a:t>
          </a:r>
        </a:p>
      </dgm:t>
    </dgm:pt>
    <dgm:pt modelId="{748885EE-C760-4664-BEF6-DAA42FFFB84B}" type="parTrans" cxnId="{106BEBE9-570C-4C41-92BB-969C39E267B6}">
      <dgm:prSet/>
      <dgm:spPr/>
      <dgm:t>
        <a:bodyPr/>
        <a:lstStyle/>
        <a:p>
          <a:endParaRPr lang="es-ES" sz="1400"/>
        </a:p>
      </dgm:t>
    </dgm:pt>
    <dgm:pt modelId="{AF8FF1D1-F525-4B47-AE56-463D84E6057D}" type="sibTrans" cxnId="{106BEBE9-570C-4C41-92BB-969C39E267B6}">
      <dgm:prSet custT="1"/>
      <dgm:spPr/>
      <dgm:t>
        <a:bodyPr/>
        <a:lstStyle/>
        <a:p>
          <a:endParaRPr lang="es-ES" sz="300"/>
        </a:p>
      </dgm:t>
    </dgm:pt>
    <dgm:pt modelId="{9DBBEF87-C274-48D1-A9CC-0A843E4E7127}">
      <dgm:prSet custT="1"/>
      <dgm:spPr/>
      <dgm:t>
        <a:bodyPr/>
        <a:lstStyle/>
        <a:p>
          <a:r>
            <a:rPr lang="es-ES" sz="1050">
              <a:latin typeface="Arial Narrow" panose="020B0606020202030204" pitchFamily="34" charset="0"/>
            </a:rPr>
            <a:t>Cerrado del negocio. </a:t>
          </a:r>
        </a:p>
      </dgm:t>
    </dgm:pt>
    <dgm:pt modelId="{C2EDA49C-A4C3-4E80-98C3-C6EFB18FD473}" type="parTrans" cxnId="{6636B1CC-726F-43CA-84A3-59D5979B3B9F}">
      <dgm:prSet/>
      <dgm:spPr/>
      <dgm:t>
        <a:bodyPr/>
        <a:lstStyle/>
        <a:p>
          <a:endParaRPr lang="es-ES" sz="1400"/>
        </a:p>
      </dgm:t>
    </dgm:pt>
    <dgm:pt modelId="{EDBA14C1-92B3-4FF8-B6DB-8068C3D4AD4A}" type="sibTrans" cxnId="{6636B1CC-726F-43CA-84A3-59D5979B3B9F}">
      <dgm:prSet custT="1"/>
      <dgm:spPr/>
      <dgm:t>
        <a:bodyPr/>
        <a:lstStyle/>
        <a:p>
          <a:endParaRPr lang="es-ES" sz="300"/>
        </a:p>
      </dgm:t>
    </dgm:pt>
    <dgm:pt modelId="{3BADEB46-BD64-499F-ADA7-8876FB7C7D38}">
      <dgm:prSet custT="1"/>
      <dgm:spPr/>
      <dgm:t>
        <a:bodyPr/>
        <a:lstStyle/>
        <a:p>
          <a:r>
            <a:rPr lang="es-ES" sz="1050">
              <a:latin typeface="Arial Narrow" panose="020B0606020202030204" pitchFamily="34" charset="0"/>
            </a:rPr>
            <a:t>Salida.</a:t>
          </a:r>
        </a:p>
      </dgm:t>
    </dgm:pt>
    <dgm:pt modelId="{151F8C3E-12BD-4CA2-AB74-D6110C97FC9E}" type="parTrans" cxnId="{1702EE21-D6FC-473B-B91D-CF40E1022098}">
      <dgm:prSet/>
      <dgm:spPr/>
      <dgm:t>
        <a:bodyPr/>
        <a:lstStyle/>
        <a:p>
          <a:endParaRPr lang="es-ES" sz="1400"/>
        </a:p>
      </dgm:t>
    </dgm:pt>
    <dgm:pt modelId="{618B9C02-0AD9-494E-858B-D40FC6443F1A}" type="sibTrans" cxnId="{1702EE21-D6FC-473B-B91D-CF40E1022098}">
      <dgm:prSet/>
      <dgm:spPr/>
      <dgm:t>
        <a:bodyPr/>
        <a:lstStyle/>
        <a:p>
          <a:endParaRPr lang="es-ES" sz="1400"/>
        </a:p>
      </dgm:t>
    </dgm:pt>
    <dgm:pt modelId="{F79560BD-E489-46EB-A901-0854B72CCFFD}" type="pres">
      <dgm:prSet presAssocID="{21A8D4F5-D9C8-42C0-987B-8E7501AC06F7}" presName="Name0" presStyleCnt="0">
        <dgm:presLayoutVars>
          <dgm:dir/>
          <dgm:resizeHandles val="exact"/>
        </dgm:presLayoutVars>
      </dgm:prSet>
      <dgm:spPr/>
      <dgm:t>
        <a:bodyPr/>
        <a:lstStyle/>
        <a:p>
          <a:endParaRPr lang="es-EC"/>
        </a:p>
      </dgm:t>
    </dgm:pt>
    <dgm:pt modelId="{CF970A75-12D7-4F34-874A-9248EE20C041}" type="pres">
      <dgm:prSet presAssocID="{269BF9EC-4879-4152-8C4F-9C86A5F5E895}" presName="node" presStyleLbl="node1" presStyleIdx="0" presStyleCnt="9">
        <dgm:presLayoutVars>
          <dgm:bulletEnabled val="1"/>
        </dgm:presLayoutVars>
      </dgm:prSet>
      <dgm:spPr/>
      <dgm:t>
        <a:bodyPr/>
        <a:lstStyle/>
        <a:p>
          <a:endParaRPr lang="es-EC"/>
        </a:p>
      </dgm:t>
    </dgm:pt>
    <dgm:pt modelId="{601E7328-BEB1-49ED-B22C-71D3F700AD9A}" type="pres">
      <dgm:prSet presAssocID="{952F8393-087B-4032-BE8C-CEE65819524D}" presName="sibTrans" presStyleLbl="sibTrans1D1" presStyleIdx="0" presStyleCnt="8"/>
      <dgm:spPr/>
      <dgm:t>
        <a:bodyPr/>
        <a:lstStyle/>
        <a:p>
          <a:endParaRPr lang="es-EC"/>
        </a:p>
      </dgm:t>
    </dgm:pt>
    <dgm:pt modelId="{0976D9D4-27DD-4AD9-B2C7-1E1CC767EE7A}" type="pres">
      <dgm:prSet presAssocID="{952F8393-087B-4032-BE8C-CEE65819524D}" presName="connectorText" presStyleLbl="sibTrans1D1" presStyleIdx="0" presStyleCnt="8"/>
      <dgm:spPr/>
      <dgm:t>
        <a:bodyPr/>
        <a:lstStyle/>
        <a:p>
          <a:endParaRPr lang="es-EC"/>
        </a:p>
      </dgm:t>
    </dgm:pt>
    <dgm:pt modelId="{A355D9C9-1F7C-424C-BE41-35912D6EFA14}" type="pres">
      <dgm:prSet presAssocID="{5F9F18FB-63FF-462C-A16D-1AC30E1753C1}" presName="node" presStyleLbl="node1" presStyleIdx="1" presStyleCnt="9">
        <dgm:presLayoutVars>
          <dgm:bulletEnabled val="1"/>
        </dgm:presLayoutVars>
      </dgm:prSet>
      <dgm:spPr/>
      <dgm:t>
        <a:bodyPr/>
        <a:lstStyle/>
        <a:p>
          <a:endParaRPr lang="es-EC"/>
        </a:p>
      </dgm:t>
    </dgm:pt>
    <dgm:pt modelId="{9D896C89-D1E2-4132-A075-18ADC8AF9917}" type="pres">
      <dgm:prSet presAssocID="{05B85418-206C-42A6-A4CF-391A8796343A}" presName="sibTrans" presStyleLbl="sibTrans1D1" presStyleIdx="1" presStyleCnt="8"/>
      <dgm:spPr/>
      <dgm:t>
        <a:bodyPr/>
        <a:lstStyle/>
        <a:p>
          <a:endParaRPr lang="es-EC"/>
        </a:p>
      </dgm:t>
    </dgm:pt>
    <dgm:pt modelId="{BEE61CAE-C25F-4DB4-8628-D295C206DA35}" type="pres">
      <dgm:prSet presAssocID="{05B85418-206C-42A6-A4CF-391A8796343A}" presName="connectorText" presStyleLbl="sibTrans1D1" presStyleIdx="1" presStyleCnt="8"/>
      <dgm:spPr/>
      <dgm:t>
        <a:bodyPr/>
        <a:lstStyle/>
        <a:p>
          <a:endParaRPr lang="es-EC"/>
        </a:p>
      </dgm:t>
    </dgm:pt>
    <dgm:pt modelId="{C606D89B-3F64-4304-B914-3DFC36409212}" type="pres">
      <dgm:prSet presAssocID="{2A48E04B-79D1-4184-B8DB-2DA4CC0AB130}" presName="node" presStyleLbl="node1" presStyleIdx="2" presStyleCnt="9">
        <dgm:presLayoutVars>
          <dgm:bulletEnabled val="1"/>
        </dgm:presLayoutVars>
      </dgm:prSet>
      <dgm:spPr/>
      <dgm:t>
        <a:bodyPr/>
        <a:lstStyle/>
        <a:p>
          <a:endParaRPr lang="es-EC"/>
        </a:p>
      </dgm:t>
    </dgm:pt>
    <dgm:pt modelId="{BEC51718-9ACD-4F20-9999-7A5DE5FADA99}" type="pres">
      <dgm:prSet presAssocID="{81202DC0-B87C-4F89-9B50-FD465C044B1A}" presName="sibTrans" presStyleLbl="sibTrans1D1" presStyleIdx="2" presStyleCnt="8"/>
      <dgm:spPr/>
      <dgm:t>
        <a:bodyPr/>
        <a:lstStyle/>
        <a:p>
          <a:endParaRPr lang="es-EC"/>
        </a:p>
      </dgm:t>
    </dgm:pt>
    <dgm:pt modelId="{CE465D2E-1726-4DD6-95DE-9A64FDC9FDF9}" type="pres">
      <dgm:prSet presAssocID="{81202DC0-B87C-4F89-9B50-FD465C044B1A}" presName="connectorText" presStyleLbl="sibTrans1D1" presStyleIdx="2" presStyleCnt="8"/>
      <dgm:spPr/>
      <dgm:t>
        <a:bodyPr/>
        <a:lstStyle/>
        <a:p>
          <a:endParaRPr lang="es-EC"/>
        </a:p>
      </dgm:t>
    </dgm:pt>
    <dgm:pt modelId="{0A148047-429D-49DC-83FA-D28B418F7033}" type="pres">
      <dgm:prSet presAssocID="{674BBE8A-1C31-4B5B-9A8A-EBD225EEC097}" presName="node" presStyleLbl="node1" presStyleIdx="3" presStyleCnt="9">
        <dgm:presLayoutVars>
          <dgm:bulletEnabled val="1"/>
        </dgm:presLayoutVars>
      </dgm:prSet>
      <dgm:spPr/>
      <dgm:t>
        <a:bodyPr/>
        <a:lstStyle/>
        <a:p>
          <a:endParaRPr lang="es-EC"/>
        </a:p>
      </dgm:t>
    </dgm:pt>
    <dgm:pt modelId="{2FE5E673-EEA3-4228-92F3-2BF74E854224}" type="pres">
      <dgm:prSet presAssocID="{F2619AA4-0897-47EC-9BF2-0285EDD9F2F8}" presName="sibTrans" presStyleLbl="sibTrans1D1" presStyleIdx="3" presStyleCnt="8"/>
      <dgm:spPr/>
      <dgm:t>
        <a:bodyPr/>
        <a:lstStyle/>
        <a:p>
          <a:endParaRPr lang="es-EC"/>
        </a:p>
      </dgm:t>
    </dgm:pt>
    <dgm:pt modelId="{A3E62482-5DE3-45D0-AC20-870289B3E252}" type="pres">
      <dgm:prSet presAssocID="{F2619AA4-0897-47EC-9BF2-0285EDD9F2F8}" presName="connectorText" presStyleLbl="sibTrans1D1" presStyleIdx="3" presStyleCnt="8"/>
      <dgm:spPr/>
      <dgm:t>
        <a:bodyPr/>
        <a:lstStyle/>
        <a:p>
          <a:endParaRPr lang="es-EC"/>
        </a:p>
      </dgm:t>
    </dgm:pt>
    <dgm:pt modelId="{21CBA128-38FE-4E4E-ADF0-8A78D434C6C7}" type="pres">
      <dgm:prSet presAssocID="{DCC2C3D9-E146-4F4C-BBC1-9055A3C2ACFE}" presName="node" presStyleLbl="node1" presStyleIdx="4" presStyleCnt="9">
        <dgm:presLayoutVars>
          <dgm:bulletEnabled val="1"/>
        </dgm:presLayoutVars>
      </dgm:prSet>
      <dgm:spPr/>
      <dgm:t>
        <a:bodyPr/>
        <a:lstStyle/>
        <a:p>
          <a:endParaRPr lang="es-EC"/>
        </a:p>
      </dgm:t>
    </dgm:pt>
    <dgm:pt modelId="{6CE89A12-A580-4886-A02E-87D5E5146C56}" type="pres">
      <dgm:prSet presAssocID="{FD16E612-3777-41D1-8150-10D0D5748EF5}" presName="sibTrans" presStyleLbl="sibTrans1D1" presStyleIdx="4" presStyleCnt="8"/>
      <dgm:spPr/>
      <dgm:t>
        <a:bodyPr/>
        <a:lstStyle/>
        <a:p>
          <a:endParaRPr lang="es-EC"/>
        </a:p>
      </dgm:t>
    </dgm:pt>
    <dgm:pt modelId="{B62D7EA8-005B-4E8A-823A-4F43EDDBD424}" type="pres">
      <dgm:prSet presAssocID="{FD16E612-3777-41D1-8150-10D0D5748EF5}" presName="connectorText" presStyleLbl="sibTrans1D1" presStyleIdx="4" presStyleCnt="8"/>
      <dgm:spPr/>
      <dgm:t>
        <a:bodyPr/>
        <a:lstStyle/>
        <a:p>
          <a:endParaRPr lang="es-EC"/>
        </a:p>
      </dgm:t>
    </dgm:pt>
    <dgm:pt modelId="{1013ECB6-524E-456F-B55E-DA846BB8A54F}" type="pres">
      <dgm:prSet presAssocID="{47FD041C-042D-4EB1-88E0-0467707BFD35}" presName="node" presStyleLbl="node1" presStyleIdx="5" presStyleCnt="9" custLinFactNeighborX="317" custLinFactNeighborY="582">
        <dgm:presLayoutVars>
          <dgm:bulletEnabled val="1"/>
        </dgm:presLayoutVars>
      </dgm:prSet>
      <dgm:spPr/>
      <dgm:t>
        <a:bodyPr/>
        <a:lstStyle/>
        <a:p>
          <a:endParaRPr lang="es-EC"/>
        </a:p>
      </dgm:t>
    </dgm:pt>
    <dgm:pt modelId="{641295DA-C1B0-4555-BEDA-552464ED9FF8}" type="pres">
      <dgm:prSet presAssocID="{5564D8C1-D32B-4E20-B6FA-9EABE465983A}" presName="sibTrans" presStyleLbl="sibTrans1D1" presStyleIdx="5" presStyleCnt="8"/>
      <dgm:spPr/>
      <dgm:t>
        <a:bodyPr/>
        <a:lstStyle/>
        <a:p>
          <a:endParaRPr lang="es-EC"/>
        </a:p>
      </dgm:t>
    </dgm:pt>
    <dgm:pt modelId="{29BD3E6D-E466-4F16-AA78-CEBC3213009D}" type="pres">
      <dgm:prSet presAssocID="{5564D8C1-D32B-4E20-B6FA-9EABE465983A}" presName="connectorText" presStyleLbl="sibTrans1D1" presStyleIdx="5" presStyleCnt="8"/>
      <dgm:spPr/>
      <dgm:t>
        <a:bodyPr/>
        <a:lstStyle/>
        <a:p>
          <a:endParaRPr lang="es-EC"/>
        </a:p>
      </dgm:t>
    </dgm:pt>
    <dgm:pt modelId="{212D2E78-A2AD-4D6C-A9FC-6951529C5FB8}" type="pres">
      <dgm:prSet presAssocID="{A8849EFD-8AE6-4E7C-87A9-6454D18BEC02}" presName="node" presStyleLbl="node1" presStyleIdx="6" presStyleCnt="9">
        <dgm:presLayoutVars>
          <dgm:bulletEnabled val="1"/>
        </dgm:presLayoutVars>
      </dgm:prSet>
      <dgm:spPr/>
      <dgm:t>
        <a:bodyPr/>
        <a:lstStyle/>
        <a:p>
          <a:endParaRPr lang="es-EC"/>
        </a:p>
      </dgm:t>
    </dgm:pt>
    <dgm:pt modelId="{C89D735D-7ADE-438E-A633-C96598B5BEFB}" type="pres">
      <dgm:prSet presAssocID="{AF8FF1D1-F525-4B47-AE56-463D84E6057D}" presName="sibTrans" presStyleLbl="sibTrans1D1" presStyleIdx="6" presStyleCnt="8"/>
      <dgm:spPr/>
      <dgm:t>
        <a:bodyPr/>
        <a:lstStyle/>
        <a:p>
          <a:endParaRPr lang="es-EC"/>
        </a:p>
      </dgm:t>
    </dgm:pt>
    <dgm:pt modelId="{08DE3D25-52DF-41AA-817E-29BE5C0E62D1}" type="pres">
      <dgm:prSet presAssocID="{AF8FF1D1-F525-4B47-AE56-463D84E6057D}" presName="connectorText" presStyleLbl="sibTrans1D1" presStyleIdx="6" presStyleCnt="8"/>
      <dgm:spPr/>
      <dgm:t>
        <a:bodyPr/>
        <a:lstStyle/>
        <a:p>
          <a:endParaRPr lang="es-EC"/>
        </a:p>
      </dgm:t>
    </dgm:pt>
    <dgm:pt modelId="{A09106A9-9305-477F-B7D1-6EAB5F41F312}" type="pres">
      <dgm:prSet presAssocID="{9DBBEF87-C274-48D1-A9CC-0A843E4E7127}" presName="node" presStyleLbl="node1" presStyleIdx="7" presStyleCnt="9">
        <dgm:presLayoutVars>
          <dgm:bulletEnabled val="1"/>
        </dgm:presLayoutVars>
      </dgm:prSet>
      <dgm:spPr/>
      <dgm:t>
        <a:bodyPr/>
        <a:lstStyle/>
        <a:p>
          <a:endParaRPr lang="es-EC"/>
        </a:p>
      </dgm:t>
    </dgm:pt>
    <dgm:pt modelId="{69C1ADA1-E2D3-4DF1-90EB-DB5F40DD840C}" type="pres">
      <dgm:prSet presAssocID="{EDBA14C1-92B3-4FF8-B6DB-8068C3D4AD4A}" presName="sibTrans" presStyleLbl="sibTrans1D1" presStyleIdx="7" presStyleCnt="8"/>
      <dgm:spPr/>
      <dgm:t>
        <a:bodyPr/>
        <a:lstStyle/>
        <a:p>
          <a:endParaRPr lang="es-EC"/>
        </a:p>
      </dgm:t>
    </dgm:pt>
    <dgm:pt modelId="{D76C1B7E-4976-446D-85B1-8C2334854AC0}" type="pres">
      <dgm:prSet presAssocID="{EDBA14C1-92B3-4FF8-B6DB-8068C3D4AD4A}" presName="connectorText" presStyleLbl="sibTrans1D1" presStyleIdx="7" presStyleCnt="8"/>
      <dgm:spPr/>
      <dgm:t>
        <a:bodyPr/>
        <a:lstStyle/>
        <a:p>
          <a:endParaRPr lang="es-EC"/>
        </a:p>
      </dgm:t>
    </dgm:pt>
    <dgm:pt modelId="{0FE5D647-5459-4C09-85F3-BAB7D802F055}" type="pres">
      <dgm:prSet presAssocID="{3BADEB46-BD64-499F-ADA7-8876FB7C7D38}" presName="node" presStyleLbl="node1" presStyleIdx="8" presStyleCnt="9" custLinFactNeighborX="317" custLinFactNeighborY="2911">
        <dgm:presLayoutVars>
          <dgm:bulletEnabled val="1"/>
        </dgm:presLayoutVars>
      </dgm:prSet>
      <dgm:spPr/>
      <dgm:t>
        <a:bodyPr/>
        <a:lstStyle/>
        <a:p>
          <a:endParaRPr lang="es-EC"/>
        </a:p>
      </dgm:t>
    </dgm:pt>
  </dgm:ptLst>
  <dgm:cxnLst>
    <dgm:cxn modelId="{8D8A3E21-06D9-4EEC-A7A8-186C4391E173}" type="presOf" srcId="{952F8393-087B-4032-BE8C-CEE65819524D}" destId="{0976D9D4-27DD-4AD9-B2C7-1E1CC767EE7A}" srcOrd="1" destOrd="0" presId="urn:microsoft.com/office/officeart/2005/8/layout/bProcess3"/>
    <dgm:cxn modelId="{CDDEE027-1A7E-4EBC-8B02-86CFC52BF46B}" srcId="{21A8D4F5-D9C8-42C0-987B-8E7501AC06F7}" destId="{269BF9EC-4879-4152-8C4F-9C86A5F5E895}" srcOrd="0" destOrd="0" parTransId="{017EBF84-B509-4E64-B2A1-F66514E081DD}" sibTransId="{952F8393-087B-4032-BE8C-CEE65819524D}"/>
    <dgm:cxn modelId="{3444F824-F72F-4B75-8FA3-DB4921047FDC}" type="presOf" srcId="{952F8393-087B-4032-BE8C-CEE65819524D}" destId="{601E7328-BEB1-49ED-B22C-71D3F700AD9A}" srcOrd="0" destOrd="0" presId="urn:microsoft.com/office/officeart/2005/8/layout/bProcess3"/>
    <dgm:cxn modelId="{9B9CBC49-19AB-4485-BDEF-3927299AD2C4}" type="presOf" srcId="{DCC2C3D9-E146-4F4C-BBC1-9055A3C2ACFE}" destId="{21CBA128-38FE-4E4E-ADF0-8A78D434C6C7}" srcOrd="0" destOrd="0" presId="urn:microsoft.com/office/officeart/2005/8/layout/bProcess3"/>
    <dgm:cxn modelId="{64B0C2FA-17EF-40B2-A968-AFB39050C228}" type="presOf" srcId="{81202DC0-B87C-4F89-9B50-FD465C044B1A}" destId="{CE465D2E-1726-4DD6-95DE-9A64FDC9FDF9}" srcOrd="1" destOrd="0" presId="urn:microsoft.com/office/officeart/2005/8/layout/bProcess3"/>
    <dgm:cxn modelId="{82A0CE1E-4B0C-4B9D-B24A-993910A9F2BC}" type="presOf" srcId="{05B85418-206C-42A6-A4CF-391A8796343A}" destId="{9D896C89-D1E2-4132-A075-18ADC8AF9917}" srcOrd="0" destOrd="0" presId="urn:microsoft.com/office/officeart/2005/8/layout/bProcess3"/>
    <dgm:cxn modelId="{106BEBE9-570C-4C41-92BB-969C39E267B6}" srcId="{21A8D4F5-D9C8-42C0-987B-8E7501AC06F7}" destId="{A8849EFD-8AE6-4E7C-87A9-6454D18BEC02}" srcOrd="6" destOrd="0" parTransId="{748885EE-C760-4664-BEF6-DAA42FFFB84B}" sibTransId="{AF8FF1D1-F525-4B47-AE56-463D84E6057D}"/>
    <dgm:cxn modelId="{72379AF9-8D93-4AC5-A065-0D98ABE8DC76}" type="presOf" srcId="{AF8FF1D1-F525-4B47-AE56-463D84E6057D}" destId="{C89D735D-7ADE-438E-A633-C96598B5BEFB}" srcOrd="0" destOrd="0" presId="urn:microsoft.com/office/officeart/2005/8/layout/bProcess3"/>
    <dgm:cxn modelId="{5675CC23-8456-4154-94AD-7972621C1AED}" srcId="{21A8D4F5-D9C8-42C0-987B-8E7501AC06F7}" destId="{DCC2C3D9-E146-4F4C-BBC1-9055A3C2ACFE}" srcOrd="4" destOrd="0" parTransId="{B7EB7B71-80E3-477B-8D12-4B080A6F4193}" sibTransId="{FD16E612-3777-41D1-8150-10D0D5748EF5}"/>
    <dgm:cxn modelId="{93DE9571-37CA-4B8E-8673-F91300A50E96}" type="presOf" srcId="{AF8FF1D1-F525-4B47-AE56-463D84E6057D}" destId="{08DE3D25-52DF-41AA-817E-29BE5C0E62D1}" srcOrd="1" destOrd="0" presId="urn:microsoft.com/office/officeart/2005/8/layout/bProcess3"/>
    <dgm:cxn modelId="{4233C3E3-C5DD-435C-ADE7-6DBDB7988CC9}" type="presOf" srcId="{5564D8C1-D32B-4E20-B6FA-9EABE465983A}" destId="{29BD3E6D-E466-4F16-AA78-CEBC3213009D}" srcOrd="1" destOrd="0" presId="urn:microsoft.com/office/officeart/2005/8/layout/bProcess3"/>
    <dgm:cxn modelId="{9D602CAB-439E-4AD1-8802-86997B58CA9F}" type="presOf" srcId="{21A8D4F5-D9C8-42C0-987B-8E7501AC06F7}" destId="{F79560BD-E489-46EB-A901-0854B72CCFFD}" srcOrd="0" destOrd="0" presId="urn:microsoft.com/office/officeart/2005/8/layout/bProcess3"/>
    <dgm:cxn modelId="{A5C67A1E-0900-471C-825E-66CF14A7D0BF}" type="presOf" srcId="{F2619AA4-0897-47EC-9BF2-0285EDD9F2F8}" destId="{2FE5E673-EEA3-4228-92F3-2BF74E854224}" srcOrd="0" destOrd="0" presId="urn:microsoft.com/office/officeart/2005/8/layout/bProcess3"/>
    <dgm:cxn modelId="{1702EE21-D6FC-473B-B91D-CF40E1022098}" srcId="{21A8D4F5-D9C8-42C0-987B-8E7501AC06F7}" destId="{3BADEB46-BD64-499F-ADA7-8876FB7C7D38}" srcOrd="8" destOrd="0" parTransId="{151F8C3E-12BD-4CA2-AB74-D6110C97FC9E}" sibTransId="{618B9C02-0AD9-494E-858B-D40FC6443F1A}"/>
    <dgm:cxn modelId="{5C80C5BA-7743-4E5F-ABF3-D3D1DDA9F716}" type="presOf" srcId="{EDBA14C1-92B3-4FF8-B6DB-8068C3D4AD4A}" destId="{69C1ADA1-E2D3-4DF1-90EB-DB5F40DD840C}" srcOrd="0" destOrd="0" presId="urn:microsoft.com/office/officeart/2005/8/layout/bProcess3"/>
    <dgm:cxn modelId="{36A8A70B-D277-4C53-8047-073D37E87106}" srcId="{21A8D4F5-D9C8-42C0-987B-8E7501AC06F7}" destId="{674BBE8A-1C31-4B5B-9A8A-EBD225EEC097}" srcOrd="3" destOrd="0" parTransId="{F88D1421-D55D-406E-AAAC-B6D37761D44B}" sibTransId="{F2619AA4-0897-47EC-9BF2-0285EDD9F2F8}"/>
    <dgm:cxn modelId="{52A021C5-D699-4CEF-AD74-A64A3CFFF76A}" type="presOf" srcId="{674BBE8A-1C31-4B5B-9A8A-EBD225EEC097}" destId="{0A148047-429D-49DC-83FA-D28B418F7033}" srcOrd="0" destOrd="0" presId="urn:microsoft.com/office/officeart/2005/8/layout/bProcess3"/>
    <dgm:cxn modelId="{92CE10CF-89DA-4754-8516-A29D6C63BC57}" srcId="{21A8D4F5-D9C8-42C0-987B-8E7501AC06F7}" destId="{47FD041C-042D-4EB1-88E0-0467707BFD35}" srcOrd="5" destOrd="0" parTransId="{29B79999-A2AC-461D-88B6-05DB4C38BDEE}" sibTransId="{5564D8C1-D32B-4E20-B6FA-9EABE465983A}"/>
    <dgm:cxn modelId="{35EEDF9A-E78A-4EE0-B46A-0719BB680BC7}" type="presOf" srcId="{2A48E04B-79D1-4184-B8DB-2DA4CC0AB130}" destId="{C606D89B-3F64-4304-B914-3DFC36409212}" srcOrd="0" destOrd="0" presId="urn:microsoft.com/office/officeart/2005/8/layout/bProcess3"/>
    <dgm:cxn modelId="{E56F92AB-5134-40E9-8265-7F136D5C2941}" type="presOf" srcId="{47FD041C-042D-4EB1-88E0-0467707BFD35}" destId="{1013ECB6-524E-456F-B55E-DA846BB8A54F}" srcOrd="0" destOrd="0" presId="urn:microsoft.com/office/officeart/2005/8/layout/bProcess3"/>
    <dgm:cxn modelId="{9685107D-8CDC-4BD6-B96D-EC8D9DB9BA2C}" type="presOf" srcId="{3BADEB46-BD64-499F-ADA7-8876FB7C7D38}" destId="{0FE5D647-5459-4C09-85F3-BAB7D802F055}" srcOrd="0" destOrd="0" presId="urn:microsoft.com/office/officeart/2005/8/layout/bProcess3"/>
    <dgm:cxn modelId="{C4680669-9849-4477-9B85-351BE0DD416E}" type="presOf" srcId="{EDBA14C1-92B3-4FF8-B6DB-8068C3D4AD4A}" destId="{D76C1B7E-4976-446D-85B1-8C2334854AC0}" srcOrd="1" destOrd="0" presId="urn:microsoft.com/office/officeart/2005/8/layout/bProcess3"/>
    <dgm:cxn modelId="{04CE7FC4-98B3-4032-A7C4-E7513454202F}" type="presOf" srcId="{05B85418-206C-42A6-A4CF-391A8796343A}" destId="{BEE61CAE-C25F-4DB4-8628-D295C206DA35}" srcOrd="1" destOrd="0" presId="urn:microsoft.com/office/officeart/2005/8/layout/bProcess3"/>
    <dgm:cxn modelId="{659C4844-8CAA-401C-9543-EE0FFAA63F4B}" type="presOf" srcId="{269BF9EC-4879-4152-8C4F-9C86A5F5E895}" destId="{CF970A75-12D7-4F34-874A-9248EE20C041}" srcOrd="0" destOrd="0" presId="urn:microsoft.com/office/officeart/2005/8/layout/bProcess3"/>
    <dgm:cxn modelId="{6636B1CC-726F-43CA-84A3-59D5979B3B9F}" srcId="{21A8D4F5-D9C8-42C0-987B-8E7501AC06F7}" destId="{9DBBEF87-C274-48D1-A9CC-0A843E4E7127}" srcOrd="7" destOrd="0" parTransId="{C2EDA49C-A4C3-4E80-98C3-C6EFB18FD473}" sibTransId="{EDBA14C1-92B3-4FF8-B6DB-8068C3D4AD4A}"/>
    <dgm:cxn modelId="{F41081FC-DAF8-4DC4-83D4-AAB0EA087490}" type="presOf" srcId="{FD16E612-3777-41D1-8150-10D0D5748EF5}" destId="{B62D7EA8-005B-4E8A-823A-4F43EDDBD424}" srcOrd="1" destOrd="0" presId="urn:microsoft.com/office/officeart/2005/8/layout/bProcess3"/>
    <dgm:cxn modelId="{C4B22575-97A9-43D7-84B9-97CCA35AA4CF}" type="presOf" srcId="{F2619AA4-0897-47EC-9BF2-0285EDD9F2F8}" destId="{A3E62482-5DE3-45D0-AC20-870289B3E252}" srcOrd="1" destOrd="0" presId="urn:microsoft.com/office/officeart/2005/8/layout/bProcess3"/>
    <dgm:cxn modelId="{B860EF70-A987-4E6D-817D-1E771ADD379C}" type="presOf" srcId="{A8849EFD-8AE6-4E7C-87A9-6454D18BEC02}" destId="{212D2E78-A2AD-4D6C-A9FC-6951529C5FB8}" srcOrd="0" destOrd="0" presId="urn:microsoft.com/office/officeart/2005/8/layout/bProcess3"/>
    <dgm:cxn modelId="{3FF72C55-E6D9-4AB3-A738-77ED09E9CA95}" srcId="{21A8D4F5-D9C8-42C0-987B-8E7501AC06F7}" destId="{5F9F18FB-63FF-462C-A16D-1AC30E1753C1}" srcOrd="1" destOrd="0" parTransId="{83B26F07-1759-491B-B616-514244BA37A5}" sibTransId="{05B85418-206C-42A6-A4CF-391A8796343A}"/>
    <dgm:cxn modelId="{3BE221D7-8115-4A87-8059-7324329711E9}" type="presOf" srcId="{81202DC0-B87C-4F89-9B50-FD465C044B1A}" destId="{BEC51718-9ACD-4F20-9999-7A5DE5FADA99}" srcOrd="0" destOrd="0" presId="urn:microsoft.com/office/officeart/2005/8/layout/bProcess3"/>
    <dgm:cxn modelId="{425EFFAF-EF54-41C3-BD9F-3627410B9B81}" type="presOf" srcId="{5564D8C1-D32B-4E20-B6FA-9EABE465983A}" destId="{641295DA-C1B0-4555-BEDA-552464ED9FF8}" srcOrd="0" destOrd="0" presId="urn:microsoft.com/office/officeart/2005/8/layout/bProcess3"/>
    <dgm:cxn modelId="{EF3D4B2D-DDDB-4D43-94D5-B267474BDDD5}" type="presOf" srcId="{5F9F18FB-63FF-462C-A16D-1AC30E1753C1}" destId="{A355D9C9-1F7C-424C-BE41-35912D6EFA14}" srcOrd="0" destOrd="0" presId="urn:microsoft.com/office/officeart/2005/8/layout/bProcess3"/>
    <dgm:cxn modelId="{45ABBF76-E999-4825-A59D-868B80658DDC}" type="presOf" srcId="{FD16E612-3777-41D1-8150-10D0D5748EF5}" destId="{6CE89A12-A580-4886-A02E-87D5E5146C56}" srcOrd="0" destOrd="0" presId="urn:microsoft.com/office/officeart/2005/8/layout/bProcess3"/>
    <dgm:cxn modelId="{2250AFC7-4DAD-439B-9498-9CEA507C9710}" srcId="{21A8D4F5-D9C8-42C0-987B-8E7501AC06F7}" destId="{2A48E04B-79D1-4184-B8DB-2DA4CC0AB130}" srcOrd="2" destOrd="0" parTransId="{125B7FE3-9D88-45EA-8A22-A725F2309D7C}" sibTransId="{81202DC0-B87C-4F89-9B50-FD465C044B1A}"/>
    <dgm:cxn modelId="{36E35771-8208-47C9-B5EF-1389711C3C2F}" type="presOf" srcId="{9DBBEF87-C274-48D1-A9CC-0A843E4E7127}" destId="{A09106A9-9305-477F-B7D1-6EAB5F41F312}" srcOrd="0" destOrd="0" presId="urn:microsoft.com/office/officeart/2005/8/layout/bProcess3"/>
    <dgm:cxn modelId="{F0103978-4F9D-4F59-AB61-39A594572940}" type="presParOf" srcId="{F79560BD-E489-46EB-A901-0854B72CCFFD}" destId="{CF970A75-12D7-4F34-874A-9248EE20C041}" srcOrd="0" destOrd="0" presId="urn:microsoft.com/office/officeart/2005/8/layout/bProcess3"/>
    <dgm:cxn modelId="{41DCB3EA-7C96-4DB7-880B-354C771A3502}" type="presParOf" srcId="{F79560BD-E489-46EB-A901-0854B72CCFFD}" destId="{601E7328-BEB1-49ED-B22C-71D3F700AD9A}" srcOrd="1" destOrd="0" presId="urn:microsoft.com/office/officeart/2005/8/layout/bProcess3"/>
    <dgm:cxn modelId="{84EFEBBC-FE77-4812-8A83-4E86E5D17F7B}" type="presParOf" srcId="{601E7328-BEB1-49ED-B22C-71D3F700AD9A}" destId="{0976D9D4-27DD-4AD9-B2C7-1E1CC767EE7A}" srcOrd="0" destOrd="0" presId="urn:microsoft.com/office/officeart/2005/8/layout/bProcess3"/>
    <dgm:cxn modelId="{FD9DDE07-B884-459F-9174-9A06CC9610E3}" type="presParOf" srcId="{F79560BD-E489-46EB-A901-0854B72CCFFD}" destId="{A355D9C9-1F7C-424C-BE41-35912D6EFA14}" srcOrd="2" destOrd="0" presId="urn:microsoft.com/office/officeart/2005/8/layout/bProcess3"/>
    <dgm:cxn modelId="{C21EE31A-4E44-4246-9405-DF350920B497}" type="presParOf" srcId="{F79560BD-E489-46EB-A901-0854B72CCFFD}" destId="{9D896C89-D1E2-4132-A075-18ADC8AF9917}" srcOrd="3" destOrd="0" presId="urn:microsoft.com/office/officeart/2005/8/layout/bProcess3"/>
    <dgm:cxn modelId="{46128FC1-4306-48E1-BE92-53B126F2F6E4}" type="presParOf" srcId="{9D896C89-D1E2-4132-A075-18ADC8AF9917}" destId="{BEE61CAE-C25F-4DB4-8628-D295C206DA35}" srcOrd="0" destOrd="0" presId="urn:microsoft.com/office/officeart/2005/8/layout/bProcess3"/>
    <dgm:cxn modelId="{46C022F9-74B2-46EB-9EE2-C6EDD2DFE199}" type="presParOf" srcId="{F79560BD-E489-46EB-A901-0854B72CCFFD}" destId="{C606D89B-3F64-4304-B914-3DFC36409212}" srcOrd="4" destOrd="0" presId="urn:microsoft.com/office/officeart/2005/8/layout/bProcess3"/>
    <dgm:cxn modelId="{9AE9AC77-DBBF-4248-9AB2-2059968E906A}" type="presParOf" srcId="{F79560BD-E489-46EB-A901-0854B72CCFFD}" destId="{BEC51718-9ACD-4F20-9999-7A5DE5FADA99}" srcOrd="5" destOrd="0" presId="urn:microsoft.com/office/officeart/2005/8/layout/bProcess3"/>
    <dgm:cxn modelId="{79845B0C-4A9F-4C46-8D42-ABF5AB05BD95}" type="presParOf" srcId="{BEC51718-9ACD-4F20-9999-7A5DE5FADA99}" destId="{CE465D2E-1726-4DD6-95DE-9A64FDC9FDF9}" srcOrd="0" destOrd="0" presId="urn:microsoft.com/office/officeart/2005/8/layout/bProcess3"/>
    <dgm:cxn modelId="{C762743D-A5DC-453B-8950-39A5142082E5}" type="presParOf" srcId="{F79560BD-E489-46EB-A901-0854B72CCFFD}" destId="{0A148047-429D-49DC-83FA-D28B418F7033}" srcOrd="6" destOrd="0" presId="urn:microsoft.com/office/officeart/2005/8/layout/bProcess3"/>
    <dgm:cxn modelId="{F5F7E36E-21DB-4B43-827B-F4183FE6B527}" type="presParOf" srcId="{F79560BD-E489-46EB-A901-0854B72CCFFD}" destId="{2FE5E673-EEA3-4228-92F3-2BF74E854224}" srcOrd="7" destOrd="0" presId="urn:microsoft.com/office/officeart/2005/8/layout/bProcess3"/>
    <dgm:cxn modelId="{AE4FF669-34E1-4554-8D0B-A3B25D370018}" type="presParOf" srcId="{2FE5E673-EEA3-4228-92F3-2BF74E854224}" destId="{A3E62482-5DE3-45D0-AC20-870289B3E252}" srcOrd="0" destOrd="0" presId="urn:microsoft.com/office/officeart/2005/8/layout/bProcess3"/>
    <dgm:cxn modelId="{7C2AA4D8-718D-4BFC-9FBD-19F919660C36}" type="presParOf" srcId="{F79560BD-E489-46EB-A901-0854B72CCFFD}" destId="{21CBA128-38FE-4E4E-ADF0-8A78D434C6C7}" srcOrd="8" destOrd="0" presId="urn:microsoft.com/office/officeart/2005/8/layout/bProcess3"/>
    <dgm:cxn modelId="{1BF6FD19-0102-4962-93B6-8C91825BA937}" type="presParOf" srcId="{F79560BD-E489-46EB-A901-0854B72CCFFD}" destId="{6CE89A12-A580-4886-A02E-87D5E5146C56}" srcOrd="9" destOrd="0" presId="urn:microsoft.com/office/officeart/2005/8/layout/bProcess3"/>
    <dgm:cxn modelId="{C2B3A02F-7140-4472-85B9-83CD6AA02D59}" type="presParOf" srcId="{6CE89A12-A580-4886-A02E-87D5E5146C56}" destId="{B62D7EA8-005B-4E8A-823A-4F43EDDBD424}" srcOrd="0" destOrd="0" presId="urn:microsoft.com/office/officeart/2005/8/layout/bProcess3"/>
    <dgm:cxn modelId="{3ED84CAA-2B52-4C5B-886B-4F64DFC08B38}" type="presParOf" srcId="{F79560BD-E489-46EB-A901-0854B72CCFFD}" destId="{1013ECB6-524E-456F-B55E-DA846BB8A54F}" srcOrd="10" destOrd="0" presId="urn:microsoft.com/office/officeart/2005/8/layout/bProcess3"/>
    <dgm:cxn modelId="{421C6DE1-2B32-44C9-9965-2D0B4F678FB2}" type="presParOf" srcId="{F79560BD-E489-46EB-A901-0854B72CCFFD}" destId="{641295DA-C1B0-4555-BEDA-552464ED9FF8}" srcOrd="11" destOrd="0" presId="urn:microsoft.com/office/officeart/2005/8/layout/bProcess3"/>
    <dgm:cxn modelId="{84E4DBB8-4578-49AE-B830-C3C1896D9732}" type="presParOf" srcId="{641295DA-C1B0-4555-BEDA-552464ED9FF8}" destId="{29BD3E6D-E466-4F16-AA78-CEBC3213009D}" srcOrd="0" destOrd="0" presId="urn:microsoft.com/office/officeart/2005/8/layout/bProcess3"/>
    <dgm:cxn modelId="{11777BB7-2617-4337-BA4E-4EEE0F098F9E}" type="presParOf" srcId="{F79560BD-E489-46EB-A901-0854B72CCFFD}" destId="{212D2E78-A2AD-4D6C-A9FC-6951529C5FB8}" srcOrd="12" destOrd="0" presId="urn:microsoft.com/office/officeart/2005/8/layout/bProcess3"/>
    <dgm:cxn modelId="{18D1D83D-C1A6-4FCD-9A41-2D57A82F1C44}" type="presParOf" srcId="{F79560BD-E489-46EB-A901-0854B72CCFFD}" destId="{C89D735D-7ADE-438E-A633-C96598B5BEFB}" srcOrd="13" destOrd="0" presId="urn:microsoft.com/office/officeart/2005/8/layout/bProcess3"/>
    <dgm:cxn modelId="{744D0B95-F812-4DEC-934B-C4D095A49CE9}" type="presParOf" srcId="{C89D735D-7ADE-438E-A633-C96598B5BEFB}" destId="{08DE3D25-52DF-41AA-817E-29BE5C0E62D1}" srcOrd="0" destOrd="0" presId="urn:microsoft.com/office/officeart/2005/8/layout/bProcess3"/>
    <dgm:cxn modelId="{0C862B10-2139-4C73-BEF1-B77C15C92AD2}" type="presParOf" srcId="{F79560BD-E489-46EB-A901-0854B72CCFFD}" destId="{A09106A9-9305-477F-B7D1-6EAB5F41F312}" srcOrd="14" destOrd="0" presId="urn:microsoft.com/office/officeart/2005/8/layout/bProcess3"/>
    <dgm:cxn modelId="{B6BA6474-4BDC-4296-AC68-45C377A31F17}" type="presParOf" srcId="{F79560BD-E489-46EB-A901-0854B72CCFFD}" destId="{69C1ADA1-E2D3-4DF1-90EB-DB5F40DD840C}" srcOrd="15" destOrd="0" presId="urn:microsoft.com/office/officeart/2005/8/layout/bProcess3"/>
    <dgm:cxn modelId="{A658860C-FEC3-46CA-A2C0-67D56E90AA0C}" type="presParOf" srcId="{69C1ADA1-E2D3-4DF1-90EB-DB5F40DD840C}" destId="{D76C1B7E-4976-446D-85B1-8C2334854AC0}" srcOrd="0" destOrd="0" presId="urn:microsoft.com/office/officeart/2005/8/layout/bProcess3"/>
    <dgm:cxn modelId="{835E3E1D-5367-4CEC-860F-C6048AD75043}" type="presParOf" srcId="{F79560BD-E489-46EB-A901-0854B72CCFFD}" destId="{0FE5D647-5459-4C09-85F3-BAB7D802F055}" srcOrd="16" destOrd="0" presId="urn:microsoft.com/office/officeart/2005/8/layout/bProcess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1E7328-BEB1-49ED-B22C-71D3F700AD9A}">
      <dsp:nvSpPr>
        <dsp:cNvPr id="0" name=""/>
        <dsp:cNvSpPr/>
      </dsp:nvSpPr>
      <dsp:spPr>
        <a:xfrm>
          <a:off x="1362117" y="323609"/>
          <a:ext cx="252416" cy="91440"/>
        </a:xfrm>
        <a:custGeom>
          <a:avLst/>
          <a:gdLst/>
          <a:ahLst/>
          <a:cxnLst/>
          <a:rect l="0" t="0" r="0" b="0"/>
          <a:pathLst>
            <a:path>
              <a:moveTo>
                <a:pt x="0" y="45720"/>
              </a:moveTo>
              <a:lnTo>
                <a:pt x="252416"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s-ES" sz="300" kern="1200"/>
        </a:p>
      </dsp:txBody>
      <dsp:txXfrm>
        <a:off x="1481250" y="367914"/>
        <a:ext cx="14150" cy="2830"/>
      </dsp:txXfrm>
    </dsp:sp>
    <dsp:sp modelId="{CF970A75-12D7-4F34-874A-9248EE20C041}">
      <dsp:nvSpPr>
        <dsp:cNvPr id="0" name=""/>
        <dsp:cNvSpPr/>
      </dsp:nvSpPr>
      <dsp:spPr>
        <a:xfrm>
          <a:off x="133411" y="177"/>
          <a:ext cx="1230506" cy="73830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s-ES" sz="1050" kern="1200">
              <a:latin typeface="Arial Narrow" panose="020B0606020202030204" pitchFamily="34" charset="0"/>
            </a:rPr>
            <a:t>Llegada al mercado en vehiculo propio, particular o a pie. </a:t>
          </a:r>
        </a:p>
      </dsp:txBody>
      <dsp:txXfrm>
        <a:off x="133411" y="177"/>
        <a:ext cx="1230506" cy="738303"/>
      </dsp:txXfrm>
    </dsp:sp>
    <dsp:sp modelId="{9D896C89-D1E2-4132-A075-18ADC8AF9917}">
      <dsp:nvSpPr>
        <dsp:cNvPr id="0" name=""/>
        <dsp:cNvSpPr/>
      </dsp:nvSpPr>
      <dsp:spPr>
        <a:xfrm>
          <a:off x="2875640" y="323609"/>
          <a:ext cx="252416" cy="91440"/>
        </a:xfrm>
        <a:custGeom>
          <a:avLst/>
          <a:gdLst/>
          <a:ahLst/>
          <a:cxnLst/>
          <a:rect l="0" t="0" r="0" b="0"/>
          <a:pathLst>
            <a:path>
              <a:moveTo>
                <a:pt x="0" y="45720"/>
              </a:moveTo>
              <a:lnTo>
                <a:pt x="252416"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s-ES" sz="300" kern="1200"/>
        </a:p>
      </dsp:txBody>
      <dsp:txXfrm>
        <a:off x="2994773" y="367914"/>
        <a:ext cx="14150" cy="2830"/>
      </dsp:txXfrm>
    </dsp:sp>
    <dsp:sp modelId="{A355D9C9-1F7C-424C-BE41-35912D6EFA14}">
      <dsp:nvSpPr>
        <dsp:cNvPr id="0" name=""/>
        <dsp:cNvSpPr/>
      </dsp:nvSpPr>
      <dsp:spPr>
        <a:xfrm>
          <a:off x="1646934" y="177"/>
          <a:ext cx="1230506" cy="73830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s-ES" sz="1050" kern="1200">
              <a:latin typeface="Arial Narrow" panose="020B0606020202030204" pitchFamily="34" charset="0"/>
            </a:rPr>
            <a:t>Registro e ingreso al mercado.</a:t>
          </a:r>
        </a:p>
      </dsp:txBody>
      <dsp:txXfrm>
        <a:off x="1646934" y="177"/>
        <a:ext cx="1230506" cy="738303"/>
      </dsp:txXfrm>
    </dsp:sp>
    <dsp:sp modelId="{BEC51718-9ACD-4F20-9999-7A5DE5FADA99}">
      <dsp:nvSpPr>
        <dsp:cNvPr id="0" name=""/>
        <dsp:cNvSpPr/>
      </dsp:nvSpPr>
      <dsp:spPr>
        <a:xfrm>
          <a:off x="748664" y="736681"/>
          <a:ext cx="3027045" cy="252416"/>
        </a:xfrm>
        <a:custGeom>
          <a:avLst/>
          <a:gdLst/>
          <a:ahLst/>
          <a:cxnLst/>
          <a:rect l="0" t="0" r="0" b="0"/>
          <a:pathLst>
            <a:path>
              <a:moveTo>
                <a:pt x="3027045" y="0"/>
              </a:moveTo>
              <a:lnTo>
                <a:pt x="3027045" y="143308"/>
              </a:lnTo>
              <a:lnTo>
                <a:pt x="0" y="143308"/>
              </a:lnTo>
              <a:lnTo>
                <a:pt x="0" y="252416"/>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s-ES" sz="300" kern="1200"/>
        </a:p>
      </dsp:txBody>
      <dsp:txXfrm>
        <a:off x="2186181" y="861474"/>
        <a:ext cx="152012" cy="2830"/>
      </dsp:txXfrm>
    </dsp:sp>
    <dsp:sp modelId="{C606D89B-3F64-4304-B914-3DFC36409212}">
      <dsp:nvSpPr>
        <dsp:cNvPr id="0" name=""/>
        <dsp:cNvSpPr/>
      </dsp:nvSpPr>
      <dsp:spPr>
        <a:xfrm>
          <a:off x="3160457" y="177"/>
          <a:ext cx="1230506" cy="73830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s-ES" sz="1050" kern="1200">
              <a:latin typeface="Arial Narrow" panose="020B0606020202030204" pitchFamily="34" charset="0"/>
            </a:rPr>
            <a:t>Dirigirse a su local.</a:t>
          </a:r>
        </a:p>
      </dsp:txBody>
      <dsp:txXfrm>
        <a:off x="3160457" y="177"/>
        <a:ext cx="1230506" cy="738303"/>
      </dsp:txXfrm>
    </dsp:sp>
    <dsp:sp modelId="{2FE5E673-EEA3-4228-92F3-2BF74E854224}">
      <dsp:nvSpPr>
        <dsp:cNvPr id="0" name=""/>
        <dsp:cNvSpPr/>
      </dsp:nvSpPr>
      <dsp:spPr>
        <a:xfrm>
          <a:off x="1362117" y="1344930"/>
          <a:ext cx="252416" cy="91440"/>
        </a:xfrm>
        <a:custGeom>
          <a:avLst/>
          <a:gdLst/>
          <a:ahLst/>
          <a:cxnLst/>
          <a:rect l="0" t="0" r="0" b="0"/>
          <a:pathLst>
            <a:path>
              <a:moveTo>
                <a:pt x="0" y="45720"/>
              </a:moveTo>
              <a:lnTo>
                <a:pt x="252416"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s-ES" sz="300" kern="1200"/>
        </a:p>
      </dsp:txBody>
      <dsp:txXfrm>
        <a:off x="1481250" y="1389234"/>
        <a:ext cx="14150" cy="2830"/>
      </dsp:txXfrm>
    </dsp:sp>
    <dsp:sp modelId="{0A148047-429D-49DC-83FA-D28B418F7033}">
      <dsp:nvSpPr>
        <dsp:cNvPr id="0" name=""/>
        <dsp:cNvSpPr/>
      </dsp:nvSpPr>
      <dsp:spPr>
        <a:xfrm>
          <a:off x="133411" y="1021498"/>
          <a:ext cx="1230506" cy="73830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s-ES" sz="1050" kern="1200">
              <a:latin typeface="Arial Narrow" panose="020B0606020202030204" pitchFamily="34" charset="0"/>
            </a:rPr>
            <a:t>Aseo del local.</a:t>
          </a:r>
        </a:p>
      </dsp:txBody>
      <dsp:txXfrm>
        <a:off x="133411" y="1021498"/>
        <a:ext cx="1230506" cy="738303"/>
      </dsp:txXfrm>
    </dsp:sp>
    <dsp:sp modelId="{6CE89A12-A580-4886-A02E-87D5E5146C56}">
      <dsp:nvSpPr>
        <dsp:cNvPr id="0" name=""/>
        <dsp:cNvSpPr/>
      </dsp:nvSpPr>
      <dsp:spPr>
        <a:xfrm>
          <a:off x="2875640" y="1344930"/>
          <a:ext cx="256317" cy="91440"/>
        </a:xfrm>
        <a:custGeom>
          <a:avLst/>
          <a:gdLst/>
          <a:ahLst/>
          <a:cxnLst/>
          <a:rect l="0" t="0" r="0" b="0"/>
          <a:pathLst>
            <a:path>
              <a:moveTo>
                <a:pt x="0" y="45720"/>
              </a:moveTo>
              <a:lnTo>
                <a:pt x="145258" y="45720"/>
              </a:lnTo>
              <a:lnTo>
                <a:pt x="145258" y="50016"/>
              </a:lnTo>
              <a:lnTo>
                <a:pt x="256317" y="50016"/>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s-ES" sz="300" kern="1200"/>
        </a:p>
      </dsp:txBody>
      <dsp:txXfrm>
        <a:off x="2996625" y="1389234"/>
        <a:ext cx="14347" cy="2830"/>
      </dsp:txXfrm>
    </dsp:sp>
    <dsp:sp modelId="{21CBA128-38FE-4E4E-ADF0-8A78D434C6C7}">
      <dsp:nvSpPr>
        <dsp:cNvPr id="0" name=""/>
        <dsp:cNvSpPr/>
      </dsp:nvSpPr>
      <dsp:spPr>
        <a:xfrm>
          <a:off x="1646934" y="1021498"/>
          <a:ext cx="1230506" cy="73830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s-ES" sz="1050" kern="1200">
              <a:latin typeface="Arial Narrow" panose="020B0606020202030204" pitchFamily="34" charset="0"/>
            </a:rPr>
            <a:t>Exhivir y vender productos.</a:t>
          </a:r>
        </a:p>
      </dsp:txBody>
      <dsp:txXfrm>
        <a:off x="1646934" y="1021498"/>
        <a:ext cx="1230506" cy="738303"/>
      </dsp:txXfrm>
    </dsp:sp>
    <dsp:sp modelId="{641295DA-C1B0-4555-BEDA-552464ED9FF8}">
      <dsp:nvSpPr>
        <dsp:cNvPr id="0" name=""/>
        <dsp:cNvSpPr/>
      </dsp:nvSpPr>
      <dsp:spPr>
        <a:xfrm>
          <a:off x="748664" y="1762298"/>
          <a:ext cx="3030946" cy="248119"/>
        </a:xfrm>
        <a:custGeom>
          <a:avLst/>
          <a:gdLst/>
          <a:ahLst/>
          <a:cxnLst/>
          <a:rect l="0" t="0" r="0" b="0"/>
          <a:pathLst>
            <a:path>
              <a:moveTo>
                <a:pt x="3030946" y="0"/>
              </a:moveTo>
              <a:lnTo>
                <a:pt x="3030946" y="141159"/>
              </a:lnTo>
              <a:lnTo>
                <a:pt x="0" y="141159"/>
              </a:lnTo>
              <a:lnTo>
                <a:pt x="0" y="248119"/>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s-ES" sz="300" kern="1200"/>
        </a:p>
      </dsp:txBody>
      <dsp:txXfrm>
        <a:off x="2188044" y="1884943"/>
        <a:ext cx="152186" cy="2830"/>
      </dsp:txXfrm>
    </dsp:sp>
    <dsp:sp modelId="{1013ECB6-524E-456F-B55E-DA846BB8A54F}">
      <dsp:nvSpPr>
        <dsp:cNvPr id="0" name=""/>
        <dsp:cNvSpPr/>
      </dsp:nvSpPr>
      <dsp:spPr>
        <a:xfrm>
          <a:off x="3164357" y="1025795"/>
          <a:ext cx="1230506" cy="73830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s-ES" sz="1050" kern="1200">
              <a:latin typeface="Arial Narrow" panose="020B0606020202030204" pitchFamily="34" charset="0"/>
            </a:rPr>
            <a:t> Almorzar.</a:t>
          </a:r>
        </a:p>
      </dsp:txBody>
      <dsp:txXfrm>
        <a:off x="3164357" y="1025795"/>
        <a:ext cx="1230506" cy="738303"/>
      </dsp:txXfrm>
    </dsp:sp>
    <dsp:sp modelId="{C89D735D-7ADE-438E-A633-C96598B5BEFB}">
      <dsp:nvSpPr>
        <dsp:cNvPr id="0" name=""/>
        <dsp:cNvSpPr/>
      </dsp:nvSpPr>
      <dsp:spPr>
        <a:xfrm>
          <a:off x="1362117" y="2366250"/>
          <a:ext cx="252416" cy="91440"/>
        </a:xfrm>
        <a:custGeom>
          <a:avLst/>
          <a:gdLst/>
          <a:ahLst/>
          <a:cxnLst/>
          <a:rect l="0" t="0" r="0" b="0"/>
          <a:pathLst>
            <a:path>
              <a:moveTo>
                <a:pt x="0" y="45720"/>
              </a:moveTo>
              <a:lnTo>
                <a:pt x="252416"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s-ES" sz="300" kern="1200"/>
        </a:p>
      </dsp:txBody>
      <dsp:txXfrm>
        <a:off x="1481250" y="2410555"/>
        <a:ext cx="14150" cy="2830"/>
      </dsp:txXfrm>
    </dsp:sp>
    <dsp:sp modelId="{212D2E78-A2AD-4D6C-A9FC-6951529C5FB8}">
      <dsp:nvSpPr>
        <dsp:cNvPr id="0" name=""/>
        <dsp:cNvSpPr/>
      </dsp:nvSpPr>
      <dsp:spPr>
        <a:xfrm>
          <a:off x="133411" y="2042818"/>
          <a:ext cx="1230506" cy="73830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s-ES" sz="1050" kern="1200">
              <a:latin typeface="Arial Narrow" panose="020B0606020202030204" pitchFamily="34" charset="0"/>
            </a:rPr>
            <a:t>Organizar sus productos para guardarlos.</a:t>
          </a:r>
        </a:p>
      </dsp:txBody>
      <dsp:txXfrm>
        <a:off x="133411" y="2042818"/>
        <a:ext cx="1230506" cy="738303"/>
      </dsp:txXfrm>
    </dsp:sp>
    <dsp:sp modelId="{69C1ADA1-E2D3-4DF1-90EB-DB5F40DD840C}">
      <dsp:nvSpPr>
        <dsp:cNvPr id="0" name=""/>
        <dsp:cNvSpPr/>
      </dsp:nvSpPr>
      <dsp:spPr>
        <a:xfrm>
          <a:off x="2875640" y="2366250"/>
          <a:ext cx="256317" cy="91440"/>
        </a:xfrm>
        <a:custGeom>
          <a:avLst/>
          <a:gdLst/>
          <a:ahLst/>
          <a:cxnLst/>
          <a:rect l="0" t="0" r="0" b="0"/>
          <a:pathLst>
            <a:path>
              <a:moveTo>
                <a:pt x="0" y="45720"/>
              </a:moveTo>
              <a:lnTo>
                <a:pt x="145258" y="45720"/>
              </a:lnTo>
              <a:lnTo>
                <a:pt x="145258" y="45897"/>
              </a:lnTo>
              <a:lnTo>
                <a:pt x="256317" y="45897"/>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s-ES" sz="300" kern="1200"/>
        </a:p>
      </dsp:txBody>
      <dsp:txXfrm>
        <a:off x="2996626" y="2410555"/>
        <a:ext cx="14345" cy="2830"/>
      </dsp:txXfrm>
    </dsp:sp>
    <dsp:sp modelId="{A09106A9-9305-477F-B7D1-6EAB5F41F312}">
      <dsp:nvSpPr>
        <dsp:cNvPr id="0" name=""/>
        <dsp:cNvSpPr/>
      </dsp:nvSpPr>
      <dsp:spPr>
        <a:xfrm>
          <a:off x="1646934" y="2042818"/>
          <a:ext cx="1230506" cy="73830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s-ES" sz="1050" kern="1200">
              <a:latin typeface="Arial Narrow" panose="020B0606020202030204" pitchFamily="34" charset="0"/>
            </a:rPr>
            <a:t>Cerrado del negocio. </a:t>
          </a:r>
        </a:p>
      </dsp:txBody>
      <dsp:txXfrm>
        <a:off x="1646934" y="2042818"/>
        <a:ext cx="1230506" cy="738303"/>
      </dsp:txXfrm>
    </dsp:sp>
    <dsp:sp modelId="{0FE5D647-5459-4C09-85F3-BAB7D802F055}">
      <dsp:nvSpPr>
        <dsp:cNvPr id="0" name=""/>
        <dsp:cNvSpPr/>
      </dsp:nvSpPr>
      <dsp:spPr>
        <a:xfrm>
          <a:off x="3164357" y="2042996"/>
          <a:ext cx="1230506" cy="73830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s-ES" sz="1050" kern="1200">
              <a:latin typeface="Arial Narrow" panose="020B0606020202030204" pitchFamily="34" charset="0"/>
            </a:rPr>
            <a:t>Salida.</a:t>
          </a:r>
        </a:p>
      </dsp:txBody>
      <dsp:txXfrm>
        <a:off x="3164357" y="2042996"/>
        <a:ext cx="1230506" cy="738303"/>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Pér17</b:Tag>
    <b:SourceType>DocumentFromInternetSite</b:SourceType>
    <b:Guid>{01FEB969-60CC-4663-BB0B-2CB7FA1493E3}</b:Guid>
    <b:Title>Normas de bioseguridad básicas en los servicios de preparacion de alimentos en los vendedores del mercado central de Tulcan</b:Title>
    <b:Year>2017</b:Year>
    <b:URL>file:///C:/Users/Usuario/Downloads/TUTENF034-2017.pdf</b:URL>
    <b:Author>
      <b:Author>
        <b:NameList>
          <b:Person>
            <b:Last>Pérez</b:Last>
            <b:First>Jhon</b:First>
          </b:Person>
        </b:NameList>
      </b:Author>
    </b:Author>
    <b:RefOrder>1</b:RefOrder>
  </b:Source>
  <b:Source>
    <b:Tag>Vla11</b:Tag>
    <b:SourceType>DocumentFromInternetSite</b:SourceType>
    <b:Guid>{6574D483-15C7-4495-8BFE-2B3783A67A8B}</b:Guid>
    <b:Title>Plan de manejo integral de residuos sólidos del Mercado  Central del Cantón Esmeralda </b:Title>
    <b:Year>2011</b:Year>
    <b:URL>http://dspace.espoch.edu.ec/bitstream/123456789/2008/1/236T0061.pdf</b:URL>
    <b:Author>
      <b:Author>
        <b:NameList>
          <b:Person>
            <b:Last>Vladimir </b:Last>
            <b:First>Ernesto</b:First>
          </b:Person>
        </b:NameList>
      </b:Author>
    </b:Author>
    <b:RefOrder>2</b:RefOrder>
  </b:Source>
  <b:Source>
    <b:Tag>Vil20</b:Tag>
    <b:SourceType>DocumentFromInternetSite</b:SourceType>
    <b:Guid>{E3AE0AC2-AFEB-4D45-A5DE-E471585F8DD4}</b:Guid>
    <b:Title>Normas de bioseguridad de los trabajadores para prevenir enfermedades</b:Title>
    <b:Year>2020</b:Year>
    <b:URL>https://dspace.uniandes.edu.ec/bitstream/123456789/12564/1/UTPIENF030-2020.pdf</b:URL>
    <b:Author>
      <b:Author>
        <b:NameList>
          <b:Person>
            <b:Last>Villa</b:Last>
            <b:First>Carlos</b:First>
          </b:Person>
        </b:NameList>
      </b:Author>
    </b:Author>
    <b:RefOrder>3</b:RefOrder>
  </b:Source>
  <b:Source>
    <b:Tag>Org21</b:Tag>
    <b:SourceType>DocumentFromInternetSite</b:SourceType>
    <b:Guid>{BABC2D1E-6503-4AF8-B72A-12DB0DDDC640}</b:Guid>
    <b:Author>
      <b:Author>
        <b:Corporate>Organización Panoamerica de la Salud [OPS]</b:Corporate>
      </b:Author>
    </b:Author>
    <b:Title>Recomendaciones para prevenir la trasmisión de COVID-19 ferias o mercados de alimentos </b:Title>
    <b:Year>2021</b:Year>
    <b:URL>https://iris.paho.org/bitstream/handle/10665.2/53315/OPSIMSFPLCOVID-19210005_spa.pdf?sequence=1&amp;isAllowed=y</b:URL>
    <b:RefOrder>4</b:RefOrder>
  </b:Source>
  <b:Source>
    <b:Tag>Pig20</b:Tag>
    <b:SourceType>DocumentFromInternetSite</b:SourceType>
    <b:Guid>{B813ED2D-C9B2-4F08-B4DD-F3B93A9D183A}</b:Guid>
    <b:Title>Cuarentena en Perú: 5 factores que explican por qué las medidas de confinamiento no impiden que sea el segundo país de América Latina con más casos de covid-19</b:Title>
    <b:Year>2020</b:Year>
    <b:URL>https://www.bbc.com/mundo/noticias-america-latina-52748764</b:URL>
    <b:Author>
      <b:Author>
        <b:NameList>
          <b:Person>
            <b:Last>Pighi</b:Last>
            <b:First>Pierina</b:First>
          </b:Person>
        </b:NameList>
      </b:Author>
    </b:Author>
    <b:RefOrder>6</b:RefOrder>
  </b:Source>
  <b:Source>
    <b:Tag>Spu20</b:Tag>
    <b:SourceType>DocumentFromInternetSite</b:SourceType>
    <b:Guid>{CB35BC98-A96D-4BC4-8D8A-6F4DCC171E57}</b:Guid>
    <b:Author>
      <b:Author>
        <b:Corporate>Sputnik</b:Corporate>
      </b:Author>
    </b:Author>
    <b:Title>Gobierno halla más de 50% de comerciantes infectados por covid-19 en mercados de Lima</b:Title>
    <b:Year>2020</b:Year>
    <b:URL>https://www.elpais.cr/2020/05/13/gobierno-halla-mas-de-50-de-comerciantes-infectados-por-covid-19-en-mercados-de-lima/</b:URL>
    <b:RefOrder>7</b:RefOrder>
  </b:Source>
  <b:Source>
    <b:Tag>RTV20</b:Tag>
    <b:SourceType>DocumentFromInternetSite</b:SourceType>
    <b:Guid>{1D1FEBF9-E1D4-4737-A2A7-58C303999D0D}</b:Guid>
    <b:Author>
      <b:Author>
        <b:Corporate>RTVE</b:Corporate>
      </b:Author>
    </b:Author>
    <b:Title>Un brote de coronavirus en el principal mercado de Pekín dispara las alarmas en China</b:Title>
    <b:Year>2020</b:Year>
    <b:URL>https://www.rtve.es/noticias/20200613/brote-coronavirus-principal-mercado-pekin-dispara-alarmas-china/2017520.shtml</b:URL>
    <b:RefOrder>5</b:RefOrder>
  </b:Source>
  <b:Source>
    <b:Tag>COE20</b:Tag>
    <b:SourceType>InternetSite</b:SourceType>
    <b:Guid>{50C9580E-6307-40C3-89CA-8072A65BE6D4}</b:Guid>
    <b:Author>
      <b:Author>
        <b:Corporate>Comité de Operaciones de Emergencia Nacional [COE] </b:Corporate>
      </b:Author>
    </b:Author>
    <b:Title>PROTOCOLO DE DESINFECCIÓN DE MERCADOS Y CENTROS DE ABASTOS -  EVENTO CORONAVIRUS</b:Title>
    <b:Year>2020</b:Year>
    <b:URL>file:///E:/ESPAM/TESIS%20CARLA/documentos/PROTOCOLO-DE-DESINFECCION-MERCADOS-ANTE-EL-CORONAVIRUS-150320-VERSIÓN-1.pdf</b:URL>
    <b:RefOrder>8</b:RefOrder>
  </b:Source>
</b:Sources>
</file>

<file path=customXml/itemProps1.xml><?xml version="1.0" encoding="utf-8"?>
<ds:datastoreItem xmlns:ds="http://schemas.openxmlformats.org/officeDocument/2006/customXml" ds:itemID="{FDBAB552-0E28-4810-8824-A79F31B72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TotalTime>
  <Pages>20</Pages>
  <Words>5428</Words>
  <Characters>29856</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Velásquez</dc:creator>
  <cp:keywords/>
  <dc:description/>
  <cp:lastModifiedBy>DIOS cambia vidas</cp:lastModifiedBy>
  <cp:revision>6</cp:revision>
  <dcterms:created xsi:type="dcterms:W3CDTF">2021-10-17T22:46:00Z</dcterms:created>
  <dcterms:modified xsi:type="dcterms:W3CDTF">2022-02-10T17:16:00Z</dcterms:modified>
</cp:coreProperties>
</file>