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407D4" w14:textId="77777777" w:rsidR="003432B0" w:rsidRDefault="003432B0" w:rsidP="00861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DD6D7D" w14:textId="21FC013F" w:rsidR="008D364F" w:rsidRPr="00861D72" w:rsidRDefault="00E00E13" w:rsidP="00E00E1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4"/>
          <w:lang w:eastAsia="es-EC"/>
        </w:rPr>
      </w:pPr>
      <w:r w:rsidRPr="00861D72">
        <w:rPr>
          <w:rFonts w:ascii="Arial" w:hAnsi="Arial" w:cs="Arial"/>
          <w:b/>
          <w:bCs/>
          <w:sz w:val="28"/>
          <w:szCs w:val="24"/>
          <w:lang w:val="es-ES"/>
        </w:rPr>
        <w:t xml:space="preserve">HERRAMIENTA TECNOLÓGICA </w:t>
      </w:r>
      <w:r w:rsidRPr="00861D72">
        <w:rPr>
          <w:rFonts w:ascii="Arial" w:eastAsia="Times New Roman" w:hAnsi="Arial" w:cs="Arial"/>
          <w:b/>
          <w:bCs/>
          <w:kern w:val="36"/>
          <w:sz w:val="28"/>
          <w:szCs w:val="24"/>
          <w:lang w:eastAsia="es-EC"/>
        </w:rPr>
        <w:t>Graspable Math</w:t>
      </w:r>
      <w:r w:rsidR="008126B7" w:rsidRPr="00861D72">
        <w:rPr>
          <w:rFonts w:ascii="Arial" w:hAnsi="Arial" w:cs="Arial"/>
          <w:b/>
          <w:bCs/>
          <w:sz w:val="28"/>
          <w:szCs w:val="24"/>
          <w:lang w:val="es-ES"/>
        </w:rPr>
        <w:t xml:space="preserve"> PARA ENSEÑAR MATEMÁTICAS EN TIEMPOS DE CONFINAMIENTO</w:t>
      </w:r>
      <w:r w:rsidR="00CD5D21" w:rsidRPr="00861D72">
        <w:rPr>
          <w:rFonts w:ascii="Arial" w:hAnsi="Arial" w:cs="Arial"/>
          <w:b/>
          <w:bCs/>
          <w:color w:val="000000"/>
          <w:sz w:val="28"/>
          <w:szCs w:val="24"/>
        </w:rPr>
        <w:t>.</w:t>
      </w:r>
    </w:p>
    <w:p w14:paraId="70964D2E" w14:textId="77777777" w:rsidR="00DC420A" w:rsidRDefault="00DC420A" w:rsidP="00DC42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B"/>
          <w:sz w:val="20"/>
          <w:szCs w:val="20"/>
        </w:rPr>
      </w:pPr>
    </w:p>
    <w:p w14:paraId="511BD7EB" w14:textId="77777777" w:rsidR="00DC420A" w:rsidRDefault="00DC420A" w:rsidP="00DC42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B"/>
          <w:sz w:val="20"/>
          <w:szCs w:val="20"/>
        </w:rPr>
      </w:pPr>
    </w:p>
    <w:p w14:paraId="45235438" w14:textId="1A048270" w:rsidR="006A1434" w:rsidRPr="00861D72" w:rsidRDefault="006A1434" w:rsidP="00861D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C1C1B"/>
        </w:rPr>
      </w:pPr>
      <w:proofErr w:type="spellStart"/>
      <w:r w:rsidRPr="00861D72">
        <w:rPr>
          <w:rFonts w:ascii="Arial" w:hAnsi="Arial" w:cs="Arial"/>
          <w:color w:val="1C1C1B"/>
        </w:rPr>
        <w:t>Enrry</w:t>
      </w:r>
      <w:proofErr w:type="spellEnd"/>
      <w:r w:rsidRPr="00861D72">
        <w:rPr>
          <w:rFonts w:ascii="Arial" w:hAnsi="Arial" w:cs="Arial"/>
          <w:color w:val="1C1C1B"/>
        </w:rPr>
        <w:t xml:space="preserve"> José Cox Figueroa</w:t>
      </w:r>
      <w:r w:rsidR="00721AC7" w:rsidRPr="00861D72">
        <w:rPr>
          <w:rFonts w:ascii="Arial" w:hAnsi="Arial" w:cs="Arial"/>
          <w:color w:val="1C1C1B"/>
        </w:rPr>
        <w:t xml:space="preserve"> </w:t>
      </w:r>
      <w:r w:rsidR="002A1300" w:rsidRPr="00861D72">
        <w:rPr>
          <w:rFonts w:ascii="Arial" w:hAnsi="Arial" w:cs="Arial"/>
          <w:color w:val="1C1C1B"/>
        </w:rPr>
        <w:t xml:space="preserve">1, </w:t>
      </w:r>
      <w:r w:rsidR="00E755C1" w:rsidRPr="00861D72">
        <w:rPr>
          <w:rFonts w:ascii="Arial" w:hAnsi="Arial" w:cs="Arial"/>
          <w:color w:val="1C1C1B"/>
        </w:rPr>
        <w:t>Marta Gema Espinoza Sánchez</w:t>
      </w:r>
      <w:r w:rsidR="002A1300" w:rsidRPr="00861D72">
        <w:rPr>
          <w:rFonts w:ascii="Arial" w:hAnsi="Arial" w:cs="Arial"/>
          <w:color w:val="1C1C1B"/>
        </w:rPr>
        <w:t xml:space="preserve"> 2</w:t>
      </w:r>
      <w:r w:rsidR="00E755C1" w:rsidRPr="00861D72">
        <w:rPr>
          <w:rFonts w:ascii="Arial" w:hAnsi="Arial" w:cs="Arial"/>
          <w:color w:val="1C1C1B"/>
        </w:rPr>
        <w:t>.</w:t>
      </w:r>
    </w:p>
    <w:p w14:paraId="23EFC95E" w14:textId="77777777" w:rsidR="00E755C1" w:rsidRPr="00861D72" w:rsidRDefault="00E755C1" w:rsidP="00861D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C1C1B"/>
        </w:rPr>
      </w:pPr>
    </w:p>
    <w:p w14:paraId="7762BAD6" w14:textId="77777777" w:rsidR="00DC420A" w:rsidRPr="00861D72" w:rsidRDefault="00DC420A" w:rsidP="00861D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C1C1B"/>
        </w:rPr>
      </w:pPr>
      <w:r w:rsidRPr="00861D72">
        <w:rPr>
          <w:rFonts w:ascii="Arial" w:hAnsi="Arial" w:cs="Arial"/>
          <w:color w:val="1C1C1B"/>
        </w:rPr>
        <w:t>1</w:t>
      </w:r>
      <w:r w:rsidR="006A1434" w:rsidRPr="00861D72">
        <w:rPr>
          <w:rFonts w:ascii="Arial" w:hAnsi="Arial" w:cs="Arial"/>
          <w:color w:val="1C1C1B"/>
        </w:rPr>
        <w:t xml:space="preserve"> </w:t>
      </w:r>
      <w:r w:rsidR="008A7404" w:rsidRPr="00861D72">
        <w:rPr>
          <w:rFonts w:ascii="Arial" w:hAnsi="Arial" w:cs="Arial"/>
          <w:color w:val="1C1C1B"/>
        </w:rPr>
        <w:t>Escuela Superior Politécnica Agropecuaria de Manabí Manuel Félix López. Manabí – Ecuador</w:t>
      </w:r>
      <w:r w:rsidRPr="00861D72">
        <w:rPr>
          <w:rFonts w:ascii="Arial" w:hAnsi="Arial" w:cs="Arial"/>
          <w:color w:val="1C1C1B"/>
        </w:rPr>
        <w:t>.</w:t>
      </w:r>
    </w:p>
    <w:p w14:paraId="21A6A36C" w14:textId="2C2C9E00" w:rsidR="00DC420A" w:rsidRPr="00861D72" w:rsidRDefault="00DC420A" w:rsidP="00861D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C1C1B"/>
        </w:rPr>
      </w:pPr>
      <w:r w:rsidRPr="00861D72">
        <w:rPr>
          <w:rFonts w:ascii="Arial" w:hAnsi="Arial" w:cs="Arial"/>
          <w:color w:val="1C1C1B"/>
        </w:rPr>
        <w:t>2</w:t>
      </w:r>
      <w:r w:rsidR="00721AC7" w:rsidRPr="00861D72">
        <w:rPr>
          <w:rFonts w:ascii="Arial" w:hAnsi="Arial" w:cs="Arial"/>
          <w:color w:val="1C1C1B"/>
        </w:rPr>
        <w:t xml:space="preserve"> </w:t>
      </w:r>
      <w:r w:rsidR="00E755C1" w:rsidRPr="00861D72">
        <w:rPr>
          <w:rFonts w:ascii="Arial" w:hAnsi="Arial" w:cs="Arial"/>
          <w:color w:val="1C1C1B"/>
        </w:rPr>
        <w:t>Unidad Educativa Carmelina Teófila Moreira</w:t>
      </w:r>
      <w:r w:rsidRPr="00861D72">
        <w:rPr>
          <w:rFonts w:ascii="Arial" w:hAnsi="Arial" w:cs="Arial"/>
          <w:color w:val="1C1C1B"/>
        </w:rPr>
        <w:t>.</w:t>
      </w:r>
    </w:p>
    <w:p w14:paraId="0FE34DE9" w14:textId="77777777" w:rsidR="00B837BE" w:rsidRPr="00861D72" w:rsidRDefault="00B837BE" w:rsidP="00861D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C1C1B"/>
        </w:rPr>
      </w:pPr>
    </w:p>
    <w:p w14:paraId="1E30A1B0" w14:textId="77777777" w:rsidR="006A1434" w:rsidRPr="00861D72" w:rsidRDefault="006A1434" w:rsidP="00861D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C1C1B"/>
        </w:rPr>
      </w:pPr>
    </w:p>
    <w:p w14:paraId="017669CD" w14:textId="25C6C650" w:rsidR="00DC420A" w:rsidRPr="00861D72" w:rsidRDefault="00DC420A" w:rsidP="00861D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861D72">
        <w:rPr>
          <w:rFonts w:ascii="Arial" w:hAnsi="Arial" w:cs="Arial"/>
          <w:b/>
          <w:bCs/>
          <w:color w:val="1C1C1B"/>
        </w:rPr>
        <w:t xml:space="preserve">e-mail: </w:t>
      </w:r>
      <w:r w:rsidR="006A1434" w:rsidRPr="00861D72">
        <w:rPr>
          <w:rFonts w:ascii="Arial" w:hAnsi="Arial" w:cs="Arial"/>
          <w:color w:val="1C1C1B"/>
        </w:rPr>
        <w:t xml:space="preserve"> </w:t>
      </w:r>
      <w:hyperlink r:id="rId6" w:history="1">
        <w:r w:rsidR="00721AC7" w:rsidRPr="00861D72">
          <w:rPr>
            <w:rStyle w:val="Hipervnculo"/>
            <w:rFonts w:ascii="Arial" w:hAnsi="Arial" w:cs="Arial"/>
          </w:rPr>
          <w:t>ecox@espam.edu.ec</w:t>
        </w:r>
      </w:hyperlink>
      <w:r w:rsidR="002A1300" w:rsidRPr="00861D72">
        <w:rPr>
          <w:rFonts w:ascii="Arial" w:hAnsi="Arial" w:cs="Arial"/>
          <w:color w:val="1C1C1B"/>
        </w:rPr>
        <w:t xml:space="preserve"> 1, </w:t>
      </w:r>
      <w:hyperlink r:id="rId7" w:history="1">
        <w:r w:rsidR="00E755C1" w:rsidRPr="00861D72">
          <w:rPr>
            <w:rStyle w:val="Hipervnculo"/>
            <w:rFonts w:ascii="Arial" w:hAnsi="Arial" w:cs="Arial"/>
          </w:rPr>
          <w:t>marta.espinoza@educacion.gob.ec</w:t>
        </w:r>
      </w:hyperlink>
      <w:r w:rsidR="002A1300" w:rsidRPr="00861D72">
        <w:rPr>
          <w:rStyle w:val="Hipervnculo"/>
          <w:rFonts w:ascii="Arial" w:hAnsi="Arial" w:cs="Arial"/>
        </w:rPr>
        <w:t xml:space="preserve"> </w:t>
      </w:r>
      <w:r w:rsidR="002A1300" w:rsidRPr="00861D72">
        <w:rPr>
          <w:rFonts w:ascii="Arial" w:hAnsi="Arial" w:cs="Arial"/>
          <w:color w:val="1C1C1B"/>
        </w:rPr>
        <w:t xml:space="preserve">2, </w:t>
      </w:r>
    </w:p>
    <w:p w14:paraId="36C593CC" w14:textId="77777777" w:rsidR="00DC420A" w:rsidRPr="00861D72" w:rsidRDefault="00DC420A" w:rsidP="00861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4C3C709" w14:textId="77777777" w:rsidR="002A1300" w:rsidRDefault="002A1300" w:rsidP="00DC42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B785F9" w14:textId="77777777" w:rsidR="002A1300" w:rsidRDefault="002A1300" w:rsidP="00DC42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AB789D" w14:textId="77777777" w:rsidR="002A1300" w:rsidRDefault="002A1300" w:rsidP="00861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3F03E3" w14:textId="77777777" w:rsidR="00DC420A" w:rsidRDefault="00DC420A" w:rsidP="00861D7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RESUMEN</w:t>
      </w:r>
    </w:p>
    <w:p w14:paraId="77850808" w14:textId="77777777" w:rsidR="00721AC7" w:rsidRDefault="00721AC7" w:rsidP="00DC42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E02567" w14:textId="47FE0FD8" w:rsidR="001004C9" w:rsidRDefault="00EC7C2B" w:rsidP="00861D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Covid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="00B555BD">
        <w:rPr>
          <w:rFonts w:ascii="Arial" w:hAnsi="Arial" w:cs="Arial"/>
          <w:color w:val="000000"/>
          <w:sz w:val="24"/>
          <w:szCs w:val="24"/>
        </w:rPr>
        <w:t>19 afectó</w:t>
      </w:r>
      <w:r w:rsidR="000B1B15">
        <w:rPr>
          <w:rFonts w:ascii="Arial" w:hAnsi="Arial" w:cs="Arial"/>
          <w:color w:val="000000"/>
          <w:sz w:val="24"/>
          <w:szCs w:val="24"/>
        </w:rPr>
        <w:t xml:space="preserve"> </w:t>
      </w:r>
      <w:r w:rsidR="008126B7">
        <w:rPr>
          <w:rFonts w:ascii="Arial" w:hAnsi="Arial" w:cs="Arial"/>
          <w:color w:val="000000"/>
          <w:sz w:val="24"/>
          <w:szCs w:val="24"/>
        </w:rPr>
        <w:t xml:space="preserve">a la humanidad </w:t>
      </w:r>
      <w:r w:rsidR="000B1B15">
        <w:rPr>
          <w:rFonts w:ascii="Arial" w:hAnsi="Arial" w:cs="Arial"/>
          <w:color w:val="000000"/>
          <w:sz w:val="24"/>
          <w:szCs w:val="24"/>
        </w:rPr>
        <w:t xml:space="preserve">de forma inesperada, </w:t>
      </w:r>
      <w:r w:rsidR="00F604B3">
        <w:rPr>
          <w:rFonts w:ascii="Arial" w:hAnsi="Arial" w:cs="Arial"/>
          <w:color w:val="000000"/>
          <w:sz w:val="24"/>
          <w:szCs w:val="24"/>
        </w:rPr>
        <w:t>la humanidad no</w:t>
      </w:r>
      <w:r w:rsidR="000B1B15">
        <w:rPr>
          <w:rFonts w:ascii="Arial" w:hAnsi="Arial" w:cs="Arial"/>
          <w:color w:val="000000"/>
          <w:sz w:val="24"/>
          <w:szCs w:val="24"/>
        </w:rPr>
        <w:t xml:space="preserve"> estaba preparada para afrontar una crisis sanitaria </w:t>
      </w:r>
      <w:r w:rsidR="00B555BD">
        <w:rPr>
          <w:rFonts w:ascii="Arial" w:hAnsi="Arial" w:cs="Arial"/>
          <w:color w:val="000000"/>
          <w:sz w:val="24"/>
          <w:szCs w:val="24"/>
        </w:rPr>
        <w:t>de la tal magnitud</w:t>
      </w:r>
      <w:r w:rsidR="000B1B15">
        <w:rPr>
          <w:rFonts w:ascii="Arial" w:hAnsi="Arial" w:cs="Arial"/>
          <w:color w:val="000000"/>
          <w:sz w:val="24"/>
          <w:szCs w:val="24"/>
        </w:rPr>
        <w:t xml:space="preserve">, </w:t>
      </w:r>
      <w:r w:rsidR="008126B7">
        <w:rPr>
          <w:rFonts w:ascii="Arial" w:hAnsi="Arial" w:cs="Arial"/>
          <w:color w:val="000000"/>
          <w:sz w:val="24"/>
          <w:szCs w:val="24"/>
        </w:rPr>
        <w:t xml:space="preserve">desde cada ámbito laboral hubo la necesidad de responder a las exigencias y dificultades que provocaba la pandemia, </w:t>
      </w:r>
      <w:r w:rsidR="00F604B3">
        <w:rPr>
          <w:rFonts w:ascii="Arial" w:hAnsi="Arial" w:cs="Arial"/>
          <w:color w:val="000000"/>
          <w:sz w:val="24"/>
          <w:szCs w:val="24"/>
        </w:rPr>
        <w:t>obviamente</w:t>
      </w:r>
      <w:r w:rsidR="008126B7">
        <w:rPr>
          <w:rFonts w:ascii="Arial" w:hAnsi="Arial" w:cs="Arial"/>
          <w:color w:val="000000"/>
          <w:sz w:val="24"/>
          <w:szCs w:val="24"/>
        </w:rPr>
        <w:t xml:space="preserve"> ámbito educativo también fue afectado, ya que </w:t>
      </w:r>
      <w:r w:rsidR="00B555BD">
        <w:rPr>
          <w:rFonts w:ascii="Arial" w:hAnsi="Arial" w:cs="Arial"/>
          <w:color w:val="000000"/>
          <w:sz w:val="24"/>
          <w:szCs w:val="24"/>
        </w:rPr>
        <w:t xml:space="preserve">no se pudo asistir a clases de forma presencial porque se debe vivir con el distanciamiento social, esta realidad exigió a los docentes reinventarse la forma </w:t>
      </w:r>
      <w:r w:rsidR="00F604B3">
        <w:rPr>
          <w:rFonts w:ascii="Arial" w:hAnsi="Arial" w:cs="Arial"/>
          <w:color w:val="000000"/>
          <w:sz w:val="24"/>
          <w:szCs w:val="24"/>
        </w:rPr>
        <w:t xml:space="preserve">de dar </w:t>
      </w:r>
      <w:r w:rsidR="00B555BD">
        <w:rPr>
          <w:rFonts w:ascii="Arial" w:hAnsi="Arial" w:cs="Arial"/>
          <w:color w:val="000000"/>
          <w:sz w:val="24"/>
          <w:szCs w:val="24"/>
        </w:rPr>
        <w:t>la clases</w:t>
      </w:r>
      <w:r w:rsidR="00F604B3">
        <w:rPr>
          <w:rFonts w:ascii="Arial" w:hAnsi="Arial" w:cs="Arial"/>
          <w:color w:val="000000"/>
          <w:sz w:val="24"/>
          <w:szCs w:val="24"/>
        </w:rPr>
        <w:t xml:space="preserve"> a los estudiantes</w:t>
      </w:r>
      <w:r w:rsidR="00B555BD">
        <w:rPr>
          <w:rFonts w:ascii="Arial" w:hAnsi="Arial" w:cs="Arial"/>
          <w:color w:val="000000"/>
          <w:sz w:val="24"/>
          <w:szCs w:val="24"/>
        </w:rPr>
        <w:t>, se debió buscar la manera de poder impartir la clase a los estudiantes</w:t>
      </w:r>
      <w:r w:rsidR="00BC161D">
        <w:rPr>
          <w:rFonts w:ascii="Arial" w:hAnsi="Arial" w:cs="Arial"/>
          <w:color w:val="000000"/>
          <w:sz w:val="24"/>
          <w:szCs w:val="24"/>
        </w:rPr>
        <w:t xml:space="preserve"> bajo el contexto de estar distanciados</w:t>
      </w:r>
      <w:r w:rsidR="00B555BD">
        <w:rPr>
          <w:rFonts w:ascii="Arial" w:hAnsi="Arial" w:cs="Arial"/>
          <w:color w:val="000000"/>
          <w:sz w:val="24"/>
          <w:szCs w:val="24"/>
        </w:rPr>
        <w:t xml:space="preserve">, es por eso que la presente investigación tuvo como propósito </w:t>
      </w:r>
      <w:r w:rsidR="00F604B3">
        <w:rPr>
          <w:rFonts w:ascii="Arial" w:hAnsi="Arial" w:cs="Arial"/>
          <w:color w:val="000000"/>
          <w:sz w:val="24"/>
          <w:szCs w:val="24"/>
        </w:rPr>
        <w:t xml:space="preserve">determinar la influencia del uso de la herramienta tecnológica Graspable Math como estrategia </w:t>
      </w:r>
      <w:r w:rsidR="00B555BD">
        <w:rPr>
          <w:rFonts w:ascii="Arial" w:hAnsi="Arial" w:cs="Arial"/>
          <w:color w:val="000000"/>
          <w:sz w:val="24"/>
          <w:szCs w:val="24"/>
        </w:rPr>
        <w:t>didácticas</w:t>
      </w:r>
      <w:r w:rsidR="00743E35">
        <w:rPr>
          <w:rFonts w:ascii="Arial" w:hAnsi="Arial" w:cs="Arial"/>
          <w:color w:val="000000"/>
          <w:sz w:val="24"/>
          <w:szCs w:val="24"/>
        </w:rPr>
        <w:t xml:space="preserve"> para enseñar matemáticas en tiempos de confinamiento</w:t>
      </w:r>
      <w:r w:rsidR="00BF4AD9">
        <w:rPr>
          <w:rFonts w:ascii="Arial" w:hAnsi="Arial" w:cs="Arial"/>
          <w:color w:val="000000"/>
          <w:sz w:val="24"/>
          <w:szCs w:val="24"/>
        </w:rPr>
        <w:t xml:space="preserve">, para lo cual se </w:t>
      </w:r>
      <w:r w:rsidR="001004C9">
        <w:rPr>
          <w:rFonts w:ascii="Arial" w:hAnsi="Arial" w:cs="Arial"/>
          <w:color w:val="000000"/>
          <w:sz w:val="24"/>
          <w:szCs w:val="24"/>
        </w:rPr>
        <w:t>aplicó la herramienta con los estudiantes de primer semestre de la carrera Administración Publica de ESPAM MFL específicamente con las temáticas de ecuaciones, se aplicó e dos momentos primero se explicó con power point y después se aplicó la herramienta, los resultados obtenidos fueron notables  ya que se evidenció un mayor domino y aprendizaje con el uso de la herramienta Graspable Math.</w:t>
      </w:r>
    </w:p>
    <w:p w14:paraId="28DFCC83" w14:textId="77777777" w:rsidR="001004C9" w:rsidRDefault="001004C9" w:rsidP="00861D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D6F5342" w14:textId="77777777" w:rsidR="001F3D99" w:rsidRDefault="001F3D99" w:rsidP="00DC42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124925C9" w14:textId="77777777" w:rsidR="00A000C0" w:rsidRDefault="00A000C0" w:rsidP="00DC42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3B48D1" w14:textId="6D2DA13C" w:rsidR="00DC420A" w:rsidRDefault="00DC420A" w:rsidP="00DC42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Palabras claves:</w:t>
      </w:r>
      <w:r w:rsidR="006772B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F4AD9">
        <w:rPr>
          <w:rFonts w:ascii="Arial" w:hAnsi="Arial" w:cs="Arial"/>
          <w:bCs/>
          <w:color w:val="000000"/>
          <w:sz w:val="24"/>
          <w:szCs w:val="24"/>
        </w:rPr>
        <w:t>enseñanza, aprendizaje, ciencias exactas</w:t>
      </w:r>
      <w:r w:rsidR="00600CAE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1004C9">
        <w:rPr>
          <w:rFonts w:ascii="Arial" w:hAnsi="Arial" w:cs="Arial"/>
          <w:bCs/>
          <w:color w:val="000000"/>
          <w:sz w:val="24"/>
          <w:szCs w:val="24"/>
        </w:rPr>
        <w:t>matemáticas, estrategias.</w:t>
      </w:r>
    </w:p>
    <w:p w14:paraId="4C6547A0" w14:textId="3F68F5C6" w:rsidR="00DC420A" w:rsidRDefault="00DC420A" w:rsidP="00DC42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A98B6A" w14:textId="77777777" w:rsidR="00C26CAC" w:rsidRDefault="00C26CAC" w:rsidP="00DC420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26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23D8"/>
    <w:multiLevelType w:val="hybridMultilevel"/>
    <w:tmpl w:val="73FE366C"/>
    <w:lvl w:ilvl="0" w:tplc="42B0E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3B9B"/>
    <w:multiLevelType w:val="hybridMultilevel"/>
    <w:tmpl w:val="E45666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D1973"/>
    <w:multiLevelType w:val="hybridMultilevel"/>
    <w:tmpl w:val="73FE366C"/>
    <w:lvl w:ilvl="0" w:tplc="42B0E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5622"/>
    <w:multiLevelType w:val="hybridMultilevel"/>
    <w:tmpl w:val="73FE366C"/>
    <w:lvl w:ilvl="0" w:tplc="42B0E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E078A"/>
    <w:multiLevelType w:val="hybridMultilevel"/>
    <w:tmpl w:val="73FE366C"/>
    <w:lvl w:ilvl="0" w:tplc="42B0E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C0F32"/>
    <w:multiLevelType w:val="hybridMultilevel"/>
    <w:tmpl w:val="73FE366C"/>
    <w:lvl w:ilvl="0" w:tplc="42B0E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80"/>
    <w:rsid w:val="00041E54"/>
    <w:rsid w:val="00057037"/>
    <w:rsid w:val="0007204E"/>
    <w:rsid w:val="000B1B15"/>
    <w:rsid w:val="001004C9"/>
    <w:rsid w:val="00172B4B"/>
    <w:rsid w:val="0017627B"/>
    <w:rsid w:val="001876FC"/>
    <w:rsid w:val="00194845"/>
    <w:rsid w:val="001B5A92"/>
    <w:rsid w:val="001B7580"/>
    <w:rsid w:val="001D437B"/>
    <w:rsid w:val="001E5E48"/>
    <w:rsid w:val="001E60AE"/>
    <w:rsid w:val="001E6A59"/>
    <w:rsid w:val="001F1EBD"/>
    <w:rsid w:val="001F3D99"/>
    <w:rsid w:val="0023464F"/>
    <w:rsid w:val="002402CF"/>
    <w:rsid w:val="0029221E"/>
    <w:rsid w:val="0029650D"/>
    <w:rsid w:val="002A1300"/>
    <w:rsid w:val="002D1C2E"/>
    <w:rsid w:val="002F2225"/>
    <w:rsid w:val="00316A7C"/>
    <w:rsid w:val="00325872"/>
    <w:rsid w:val="00331F69"/>
    <w:rsid w:val="003432B0"/>
    <w:rsid w:val="00345420"/>
    <w:rsid w:val="00352CFF"/>
    <w:rsid w:val="00364450"/>
    <w:rsid w:val="003A25DF"/>
    <w:rsid w:val="003A44B4"/>
    <w:rsid w:val="003A6846"/>
    <w:rsid w:val="003B149F"/>
    <w:rsid w:val="003F09F1"/>
    <w:rsid w:val="003F7F42"/>
    <w:rsid w:val="00407632"/>
    <w:rsid w:val="004133AF"/>
    <w:rsid w:val="00432DA1"/>
    <w:rsid w:val="00435DCE"/>
    <w:rsid w:val="004477E2"/>
    <w:rsid w:val="004767FC"/>
    <w:rsid w:val="00481788"/>
    <w:rsid w:val="00481BFF"/>
    <w:rsid w:val="004A1619"/>
    <w:rsid w:val="004B7392"/>
    <w:rsid w:val="004E424E"/>
    <w:rsid w:val="00515F18"/>
    <w:rsid w:val="00520A24"/>
    <w:rsid w:val="00520EFA"/>
    <w:rsid w:val="0053031E"/>
    <w:rsid w:val="005368B4"/>
    <w:rsid w:val="00552D86"/>
    <w:rsid w:val="005625A7"/>
    <w:rsid w:val="00565410"/>
    <w:rsid w:val="00570927"/>
    <w:rsid w:val="005729E5"/>
    <w:rsid w:val="00583A0E"/>
    <w:rsid w:val="00585B44"/>
    <w:rsid w:val="005F5D25"/>
    <w:rsid w:val="00600CAE"/>
    <w:rsid w:val="0063540D"/>
    <w:rsid w:val="0065238A"/>
    <w:rsid w:val="006772BD"/>
    <w:rsid w:val="006845BA"/>
    <w:rsid w:val="00697812"/>
    <w:rsid w:val="006A1434"/>
    <w:rsid w:val="006B667C"/>
    <w:rsid w:val="006C2C83"/>
    <w:rsid w:val="006D654C"/>
    <w:rsid w:val="006E3352"/>
    <w:rsid w:val="006F0898"/>
    <w:rsid w:val="00700842"/>
    <w:rsid w:val="00721AC7"/>
    <w:rsid w:val="00735A0B"/>
    <w:rsid w:val="00743E35"/>
    <w:rsid w:val="00753DFA"/>
    <w:rsid w:val="00756285"/>
    <w:rsid w:val="00776307"/>
    <w:rsid w:val="007933AE"/>
    <w:rsid w:val="0079400F"/>
    <w:rsid w:val="00795C3C"/>
    <w:rsid w:val="007965FB"/>
    <w:rsid w:val="007B0BB3"/>
    <w:rsid w:val="007B20C1"/>
    <w:rsid w:val="007B22DB"/>
    <w:rsid w:val="007D1AE3"/>
    <w:rsid w:val="008126B7"/>
    <w:rsid w:val="00831E28"/>
    <w:rsid w:val="00832144"/>
    <w:rsid w:val="00847FE4"/>
    <w:rsid w:val="00861D72"/>
    <w:rsid w:val="0086505E"/>
    <w:rsid w:val="00896324"/>
    <w:rsid w:val="008A47A1"/>
    <w:rsid w:val="008A708B"/>
    <w:rsid w:val="008A7404"/>
    <w:rsid w:val="008C5228"/>
    <w:rsid w:val="008D364F"/>
    <w:rsid w:val="008F124C"/>
    <w:rsid w:val="008F2CA8"/>
    <w:rsid w:val="00900880"/>
    <w:rsid w:val="00927D66"/>
    <w:rsid w:val="00977D1D"/>
    <w:rsid w:val="009872CF"/>
    <w:rsid w:val="009958F4"/>
    <w:rsid w:val="009A5531"/>
    <w:rsid w:val="009A59E0"/>
    <w:rsid w:val="009B6088"/>
    <w:rsid w:val="009B68D5"/>
    <w:rsid w:val="009B7318"/>
    <w:rsid w:val="009C4E4A"/>
    <w:rsid w:val="009C7CD3"/>
    <w:rsid w:val="009D0589"/>
    <w:rsid w:val="009D18EC"/>
    <w:rsid w:val="00A000C0"/>
    <w:rsid w:val="00A17C4E"/>
    <w:rsid w:val="00A20CDE"/>
    <w:rsid w:val="00A61012"/>
    <w:rsid w:val="00A67D8B"/>
    <w:rsid w:val="00A74073"/>
    <w:rsid w:val="00A747EA"/>
    <w:rsid w:val="00A96FC8"/>
    <w:rsid w:val="00AA76DB"/>
    <w:rsid w:val="00AB100E"/>
    <w:rsid w:val="00AC03D4"/>
    <w:rsid w:val="00AC1CB2"/>
    <w:rsid w:val="00AF1618"/>
    <w:rsid w:val="00AF229A"/>
    <w:rsid w:val="00B32397"/>
    <w:rsid w:val="00B42091"/>
    <w:rsid w:val="00B46596"/>
    <w:rsid w:val="00B555BD"/>
    <w:rsid w:val="00B61742"/>
    <w:rsid w:val="00B6306A"/>
    <w:rsid w:val="00B64306"/>
    <w:rsid w:val="00B66B33"/>
    <w:rsid w:val="00B734B9"/>
    <w:rsid w:val="00B837BE"/>
    <w:rsid w:val="00B9637A"/>
    <w:rsid w:val="00BC161D"/>
    <w:rsid w:val="00BD0CEB"/>
    <w:rsid w:val="00BE0A52"/>
    <w:rsid w:val="00BE2A58"/>
    <w:rsid w:val="00BF4AD9"/>
    <w:rsid w:val="00C26CAC"/>
    <w:rsid w:val="00C433DA"/>
    <w:rsid w:val="00C4445A"/>
    <w:rsid w:val="00C50D95"/>
    <w:rsid w:val="00C67A5C"/>
    <w:rsid w:val="00CA04DA"/>
    <w:rsid w:val="00CA38C8"/>
    <w:rsid w:val="00CB1D66"/>
    <w:rsid w:val="00CB4AB7"/>
    <w:rsid w:val="00CB5C95"/>
    <w:rsid w:val="00CC644C"/>
    <w:rsid w:val="00CD1A99"/>
    <w:rsid w:val="00CD5D21"/>
    <w:rsid w:val="00CE29A1"/>
    <w:rsid w:val="00CE3B69"/>
    <w:rsid w:val="00CF3312"/>
    <w:rsid w:val="00D70359"/>
    <w:rsid w:val="00D942F0"/>
    <w:rsid w:val="00DB5B92"/>
    <w:rsid w:val="00DB7101"/>
    <w:rsid w:val="00DC420A"/>
    <w:rsid w:val="00DC6C52"/>
    <w:rsid w:val="00DE5B30"/>
    <w:rsid w:val="00E00E13"/>
    <w:rsid w:val="00E158F8"/>
    <w:rsid w:val="00E755C1"/>
    <w:rsid w:val="00E75F02"/>
    <w:rsid w:val="00E83337"/>
    <w:rsid w:val="00E87ABB"/>
    <w:rsid w:val="00EB658C"/>
    <w:rsid w:val="00EB6A26"/>
    <w:rsid w:val="00EC7C2B"/>
    <w:rsid w:val="00ED037A"/>
    <w:rsid w:val="00EE4335"/>
    <w:rsid w:val="00EF5C38"/>
    <w:rsid w:val="00F0784E"/>
    <w:rsid w:val="00F31BD6"/>
    <w:rsid w:val="00F564B8"/>
    <w:rsid w:val="00F604B3"/>
    <w:rsid w:val="00F611EC"/>
    <w:rsid w:val="00F75683"/>
    <w:rsid w:val="00F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F1F0"/>
  <w15:chartTrackingRefBased/>
  <w15:docId w15:val="{3872986C-2E20-4470-8AF5-0BDEC0A8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5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1AC7"/>
    <w:rPr>
      <w:color w:val="0563C1" w:themeColor="hyperlink"/>
      <w:u w:val="single"/>
    </w:rPr>
  </w:style>
  <w:style w:type="paragraph" w:customStyle="1" w:styleId="Default">
    <w:name w:val="Default"/>
    <w:rsid w:val="00697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Chocolate normal titulo2"/>
    <w:basedOn w:val="Normal"/>
    <w:link w:val="PrrafodelistaCar"/>
    <w:uiPriority w:val="34"/>
    <w:qFormat/>
    <w:rsid w:val="00E87ABB"/>
    <w:pPr>
      <w:ind w:left="720"/>
      <w:contextualSpacing/>
    </w:pPr>
  </w:style>
  <w:style w:type="character" w:customStyle="1" w:styleId="PrrafodelistaCar">
    <w:name w:val="Párrafo de lista Car"/>
    <w:aliases w:val="Chocolate normal titulo2 Car"/>
    <w:link w:val="Prrafodelista"/>
    <w:uiPriority w:val="34"/>
    <w:rsid w:val="00E87ABB"/>
  </w:style>
  <w:style w:type="character" w:customStyle="1" w:styleId="Ttulo1Car">
    <w:name w:val="Título 1 Car"/>
    <w:basedOn w:val="Fuentedeprrafopredeter"/>
    <w:link w:val="Ttulo1"/>
    <w:uiPriority w:val="9"/>
    <w:rsid w:val="00EF5C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EF5C3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55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2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F75683"/>
    <w:rPr>
      <w:color w:val="954F72" w:themeColor="followedHyperlink"/>
      <w:u w:val="single"/>
    </w:rPr>
  </w:style>
  <w:style w:type="character" w:customStyle="1" w:styleId="A4">
    <w:name w:val="A4"/>
    <w:uiPriority w:val="99"/>
    <w:rsid w:val="00CB5C95"/>
    <w:rPr>
      <w:rFonts w:cs="Open San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a.espinoza@educacion.gob.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x@espam.edu.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Car15</b:Tag>
    <b:SourceType>JournalArticle</b:SourceType>
    <b:Guid>{09A11B17-426E-4FB1-8387-570BE396E654}</b:Guid>
    <b:Title>La Participación Ciudadana y Control Social en Ecuador.</b:Title>
    <b:Year>2015</b:Year>
    <b:Author>
      <b:Author>
        <b:NameList>
          <b:Person>
            <b:Last>Carrera</b:Last>
            <b:First>Frank</b:First>
          </b:Person>
        </b:NameList>
      </b:Author>
    </b:Author>
    <b:JournalName>Revista de Ciencia, Tecnología e Innovación</b:JournalName>
    <b:Pages>47</b:Pages>
    <b:RefOrder>3</b:RefOrder>
  </b:Source>
  <b:Source>
    <b:Tag>Rod17</b:Tag>
    <b:SourceType>Book</b:SourceType>
    <b:Guid>{AA8FAB28-6D56-4B70-8A6E-D399B23F74E2}</b:Guid>
    <b:Year>2017</b:Year>
    <b:Author>
      <b:Author>
        <b:NameList>
          <b:Person>
            <b:Last>Rodriguez</b:Last>
            <b:First>Julio</b:First>
          </b:Person>
        </b:NameList>
      </b:Author>
    </b:Author>
    <b:Title>Participación Ciudadana en la elaboración de presupuestos participativos parroquiales, en el Gobierno de la Provincia de Pichincha durante el año 2015</b:Title>
    <b:City>Quito</b:City>
    <b:RefOrder>4</b:RefOrder>
  </b:Source>
  <b:Source>
    <b:Tag>Con081</b:Tag>
    <b:SourceType>Book</b:SourceType>
    <b:Guid>{FF301BBD-394D-4B73-B898-5ABEF756E0C0}</b:Guid>
    <b:Title>Constitución de la República del Ecuador</b:Title>
    <b:Year>2008</b:Year>
    <b:Author>
      <b:Author>
        <b:Corporate>Constitución de la República del Ecuador</b:Corporate>
      </b:Author>
    </b:Author>
    <b:City>Quito</b:City>
    <b:RefOrder>5</b:RefOrder>
  </b:Source>
  <b:Source>
    <b:Tag>INE10</b:Tag>
    <b:SourceType>Report</b:SourceType>
    <b:Guid>{50361C25-03CF-4601-8FE0-B114C0022DC0}</b:Guid>
    <b:Title>CENSO DE POBLACIÓN Y VIVIENDA</b:Title>
    <b:Year>2010</b:Year>
    <b:City>Quito</b:City>
    <b:Author>
      <b:Author>
        <b:Corporate>INEC</b:Corporate>
      </b:Author>
    </b:Author>
    <b:RefOrder>6</b:RefOrder>
  </b:Source>
  <b:Source>
    <b:Tag>Sec</b:Tag>
    <b:SourceType>Report</b:SourceType>
    <b:Guid>{4B1BAB22-19C9-48EB-BE61-F5E753211835}</b:Guid>
    <b:Author>
      <b:Author>
        <b:Corporate>Secretaría Nacional de Planificación y Desarrollo</b:Corporate>
      </b:Author>
    </b:Author>
    <b:Title>La participación ciudadana para la vida democrática</b:Title>
    <b:City>Quito</b:City>
    <b:Year>2012</b:Year>
    <b:RefOrder>7</b:RefOrder>
  </b:Source>
  <b:Source>
    <b:Tag>Sis16</b:Tag>
    <b:SourceType>Report</b:SourceType>
    <b:Guid>{4D744740-BD51-4237-AF44-FE1B02C2D78C}</b:Guid>
    <b:Author>
      <b:Author>
        <b:Corporate>Sistema de Participación Ciudadana. Consejo de Participación Ciudadana y Control Social</b:Corporate>
      </b:Author>
    </b:Author>
    <b:Year>2016</b:Year>
    <b:City>Quito</b:City>
    <b:RefOrder>8</b:RefOrder>
  </b:Source>
  <b:Source>
    <b:Tag>Ley10</b:Tag>
    <b:SourceType>Report</b:SourceType>
    <b:Guid>{16704666-E211-496C-AEA4-87C4FA266035}</b:Guid>
    <b:Title>Ley Organica de Participacion Ciudadana</b:Title>
    <b:Year>2010</b:Year>
    <b:Author>
      <b:Author>
        <b:Corporate>Ley Organica de Participacion Ciudadana</b:Corporate>
      </b:Author>
    </b:Author>
    <b:City>Quito</b:City>
    <b:RefOrder>9</b:RefOrder>
  </b:Source>
  <b:Source>
    <b:Tag>Alv14</b:Tag>
    <b:SourceType>JournalArticle</b:SourceType>
    <b:Guid>{3A8AF4A6-7EA4-40AC-9291-E0867669C1C9}</b:Guid>
    <b:Title>Mecanismos de participación ciudadana para la planificación y evaluación de la gestión pública en el Ecuador </b:Title>
    <b:Year>2014</b:Year>
    <b:Author>
      <b:Author>
        <b:NameList>
          <b:Person>
            <b:Last>Alvarez</b:Last>
            <b:First>Carmita</b:First>
          </b:Person>
        </b:NameList>
      </b:Author>
    </b:Author>
    <b:JournalName>Revista de Trabajo Social Margen</b:JournalName>
    <b:Pages>1</b:Pages>
    <b:RefOrder>10</b:RefOrder>
  </b:Source>
  <b:Source>
    <b:Tag>Igl21</b:Tag>
    <b:SourceType>Book</b:SourceType>
    <b:Guid>{B712E142-36A3-475A-A1A7-558FE818E291}</b:Guid>
    <b:Title>Graspable Math: una nueva manera de explorar y hacer matemáticas</b:Title>
    <b:Year>2021</b:Year>
    <b:Author>
      <b:Author>
        <b:NameList>
          <b:Person>
            <b:Last>Iglesias</b:Last>
            <b:First>Luis.</b:First>
          </b:Person>
        </b:NameList>
      </b:Author>
    </b:Author>
    <b:City>España</b:City>
    <b:Publisher>Creative Commons</b:Publisher>
    <b:RefOrder>1</b:RefOrder>
  </b:Source>
  <b:Source>
    <b:Tag>Gue02</b:Tag>
    <b:SourceType>JournalArticle</b:SourceType>
    <b:Guid>{BD20931C-E376-4831-88FC-E14F8A148663}</b:Guid>
    <b:Title>El uso de la tecnología en la educación.</b:Title>
    <b:Year>2002</b:Year>
    <b:Author>
      <b:Author>
        <b:NameList>
          <b:Person>
            <b:Last>Guerra</b:Last>
            <b:First>Victor</b:First>
          </b:Person>
        </b:NameList>
      </b:Author>
    </b:Author>
    <b:JournalName> Red digital: Revista de Tecnologías de la Información y Comunicación Educativas</b:JournalName>
    <b:RefOrder>2</b:RefOrder>
  </b:Source>
</b:Sources>
</file>

<file path=customXml/itemProps1.xml><?xml version="1.0" encoding="utf-8"?>
<ds:datastoreItem xmlns:ds="http://schemas.openxmlformats.org/officeDocument/2006/customXml" ds:itemID="{F7D96125-0866-4E45-9051-ED1652AB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DIOS cambia vidas</cp:lastModifiedBy>
  <cp:revision>62</cp:revision>
  <dcterms:created xsi:type="dcterms:W3CDTF">2020-10-30T22:30:00Z</dcterms:created>
  <dcterms:modified xsi:type="dcterms:W3CDTF">2022-02-10T15:58:00Z</dcterms:modified>
</cp:coreProperties>
</file>