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7EEF4" w14:textId="0F3A3222" w:rsidR="00572B42" w:rsidRPr="00EA00C3" w:rsidRDefault="00572B42" w:rsidP="00572B42">
      <w:pPr>
        <w:jc w:val="center"/>
        <w:rPr>
          <w:b/>
          <w:bCs/>
          <w:sz w:val="28"/>
          <w:lang w:val="es-ES"/>
        </w:rPr>
      </w:pPr>
      <w:bookmarkStart w:id="0" w:name="_Hlk83124710"/>
      <w:r w:rsidRPr="00EA00C3">
        <w:rPr>
          <w:b/>
          <w:bCs/>
          <w:sz w:val="28"/>
          <w:lang w:val="es-ES"/>
        </w:rPr>
        <w:t xml:space="preserve">EXPERIENCIAS DE APRENDIZAJE SIGNIFICATIVO EN LA QUÍMICA MEDIANTE EL USO DE </w:t>
      </w:r>
      <w:proofErr w:type="spellStart"/>
      <w:r w:rsidRPr="00EA00C3">
        <w:rPr>
          <w:b/>
          <w:bCs/>
          <w:sz w:val="28"/>
          <w:lang w:val="es-ES"/>
        </w:rPr>
        <w:t>TIC</w:t>
      </w:r>
      <w:r w:rsidR="00983E8B" w:rsidRPr="00EA00C3">
        <w:rPr>
          <w:b/>
          <w:bCs/>
          <w:sz w:val="28"/>
          <w:lang w:val="es-ES"/>
        </w:rPr>
        <w:t>s</w:t>
      </w:r>
      <w:proofErr w:type="spellEnd"/>
      <w:r w:rsidRPr="00EA00C3">
        <w:rPr>
          <w:b/>
          <w:bCs/>
          <w:sz w:val="28"/>
          <w:lang w:val="es-ES"/>
        </w:rPr>
        <w:t>: CASO ESPAM MFL</w:t>
      </w:r>
    </w:p>
    <w:bookmarkEnd w:id="0"/>
    <w:p w14:paraId="038B2232" w14:textId="4FDE4311" w:rsidR="00572B42" w:rsidRPr="00764109" w:rsidRDefault="00572B42" w:rsidP="00572B42">
      <w:pPr>
        <w:jc w:val="center"/>
        <w:rPr>
          <w:lang w:val="es-ES"/>
        </w:rPr>
      </w:pPr>
      <w:r>
        <w:rPr>
          <w:lang w:val="es-ES"/>
        </w:rPr>
        <w:t xml:space="preserve">Cruz Alexandra Pinargote </w:t>
      </w:r>
      <w:r w:rsidRPr="008E5401">
        <w:rPr>
          <w:lang w:val="es-ES"/>
        </w:rPr>
        <w:t>Zambrano</w:t>
      </w:r>
      <w:r>
        <w:rPr>
          <w:vertAlign w:val="superscript"/>
          <w:lang w:val="es-ES"/>
        </w:rPr>
        <w:t>1</w:t>
      </w:r>
      <w:r w:rsidR="00764109">
        <w:rPr>
          <w:lang w:val="es-ES"/>
        </w:rPr>
        <w:t>, José Fernando Zambrano Ruedas</w:t>
      </w:r>
      <w:r w:rsidR="00764109">
        <w:rPr>
          <w:vertAlign w:val="superscript"/>
          <w:lang w:val="es-ES"/>
        </w:rPr>
        <w:t>1</w:t>
      </w:r>
      <w:r w:rsidR="00764109">
        <w:rPr>
          <w:lang w:val="es-ES"/>
        </w:rPr>
        <w:t xml:space="preserve">, Ana María </w:t>
      </w:r>
      <w:proofErr w:type="spellStart"/>
      <w:r w:rsidR="00764109">
        <w:rPr>
          <w:lang w:val="es-ES"/>
        </w:rPr>
        <w:t>Aveiga</w:t>
      </w:r>
      <w:proofErr w:type="spellEnd"/>
      <w:r w:rsidR="00764109">
        <w:rPr>
          <w:lang w:val="es-ES"/>
        </w:rPr>
        <w:t xml:space="preserve"> Ortiz</w:t>
      </w:r>
      <w:r w:rsidR="00764109">
        <w:rPr>
          <w:vertAlign w:val="superscript"/>
          <w:lang w:val="es-ES"/>
        </w:rPr>
        <w:t>1</w:t>
      </w:r>
      <w:r w:rsidR="00764109">
        <w:rPr>
          <w:lang w:val="es-ES"/>
        </w:rPr>
        <w:t>, Patricio Javier Noles Aguilar</w:t>
      </w:r>
      <w:r w:rsidR="00764109">
        <w:rPr>
          <w:vertAlign w:val="superscript"/>
          <w:lang w:val="es-ES"/>
        </w:rPr>
        <w:t>1</w:t>
      </w:r>
    </w:p>
    <w:p w14:paraId="0BAB807B" w14:textId="1CBFB932" w:rsidR="00572B42" w:rsidRDefault="00572B42" w:rsidP="00572B42">
      <w:pPr>
        <w:jc w:val="center"/>
        <w:rPr>
          <w:lang w:val="es-ES"/>
        </w:rPr>
      </w:pPr>
      <w:r w:rsidRPr="00741602">
        <w:rPr>
          <w:vertAlign w:val="superscript"/>
          <w:lang w:val="es-ES"/>
        </w:rPr>
        <w:t>1</w:t>
      </w:r>
      <w:r>
        <w:rPr>
          <w:lang w:val="es-ES"/>
        </w:rPr>
        <w:t>Escuela Superior Politécnica Agropecuaria de Manabí Manuel Félix López</w:t>
      </w:r>
    </w:p>
    <w:p w14:paraId="02307ABA" w14:textId="06DDCBCE" w:rsidR="00764109" w:rsidRPr="00822B86" w:rsidRDefault="00764109" w:rsidP="00572B42">
      <w:pPr>
        <w:jc w:val="center"/>
        <w:rPr>
          <w:lang w:val="es-ES"/>
        </w:rPr>
      </w:pPr>
      <w:r w:rsidRPr="00822B86">
        <w:rPr>
          <w:lang w:val="es-ES"/>
        </w:rPr>
        <w:t>cruz.</w:t>
      </w:r>
      <w:r w:rsidR="00822B86" w:rsidRPr="00822B86">
        <w:rPr>
          <w:lang w:val="es-ES"/>
        </w:rPr>
        <w:t>pinargote@espam.edu.ec; jzambrano@espam.edu.ec; aaveiga@espam.edu.ec; pnoles@</w:t>
      </w:r>
      <w:r w:rsidR="00822B86">
        <w:rPr>
          <w:lang w:val="es-ES"/>
        </w:rPr>
        <w:t>espam.edu.ec</w:t>
      </w:r>
    </w:p>
    <w:p w14:paraId="317C925B" w14:textId="503C7D6E" w:rsidR="00D667C0" w:rsidRPr="00AF4139" w:rsidRDefault="00495A4D" w:rsidP="00EA00C3">
      <w:pPr>
        <w:jc w:val="left"/>
        <w:rPr>
          <w:b/>
          <w:bCs/>
        </w:rPr>
      </w:pPr>
      <w:r w:rsidRPr="00AF4139">
        <w:rPr>
          <w:b/>
          <w:bCs/>
        </w:rPr>
        <w:t>RESUMEN</w:t>
      </w:r>
    </w:p>
    <w:p w14:paraId="34207286" w14:textId="034B1096" w:rsidR="00DF038C" w:rsidRPr="00DF038C" w:rsidRDefault="008B583B" w:rsidP="00EA00C3">
      <w:pPr>
        <w:spacing w:line="276" w:lineRule="auto"/>
        <w:rPr>
          <w:lang w:val="es-ES"/>
        </w:rPr>
      </w:pPr>
      <w:r>
        <w:rPr>
          <w:lang w:val="es-ES"/>
        </w:rPr>
        <w:t xml:space="preserve">El aprendizaje significativo de asignaturas como la química requiere innovaciones que capten la atención de los estudiantes, el uso de modelos de simulación en el proceso de enseñanza-aprendizaje se ha convertido en una herramienta eficaz para docentes y estudiantes. En tal sentido, </w:t>
      </w:r>
      <w:r w:rsidRPr="008B583B">
        <w:rPr>
          <w:lang w:val="es-ES"/>
        </w:rPr>
        <w:t xml:space="preserve">esta investigación tuvo </w:t>
      </w:r>
      <w:r>
        <w:rPr>
          <w:lang w:val="es-ES"/>
        </w:rPr>
        <w:t>el objetivo</w:t>
      </w:r>
      <w:r w:rsidRPr="008B583B">
        <w:rPr>
          <w:lang w:val="es-ES"/>
        </w:rPr>
        <w:t xml:space="preserve"> de determinar las experiencias de aprendizaje significativo en la química mediante el uso de </w:t>
      </w:r>
      <w:r w:rsidR="00785016">
        <w:t>t</w:t>
      </w:r>
      <w:r w:rsidR="00785016" w:rsidRPr="007020B9">
        <w:rPr>
          <w:lang w:val="es-ES"/>
        </w:rPr>
        <w:t>ecnologías de información y comunicación</w:t>
      </w:r>
      <w:r w:rsidRPr="008B583B">
        <w:rPr>
          <w:lang w:val="es-ES"/>
        </w:rPr>
        <w:t xml:space="preserve"> en la ESPAM MFL</w:t>
      </w:r>
      <w:r>
        <w:rPr>
          <w:lang w:val="es-ES"/>
        </w:rPr>
        <w:t xml:space="preserve">. </w:t>
      </w:r>
      <w:r w:rsidR="00DF038C">
        <w:rPr>
          <w:lang w:val="es-ES"/>
        </w:rPr>
        <w:t>L</w:t>
      </w:r>
      <w:r w:rsidR="00DF038C" w:rsidRPr="00DF038C">
        <w:rPr>
          <w:lang w:val="es-ES"/>
        </w:rPr>
        <w:t>a recolección de datos</w:t>
      </w:r>
      <w:r w:rsidR="00DF038C">
        <w:rPr>
          <w:lang w:val="es-ES"/>
        </w:rPr>
        <w:t xml:space="preserve"> se realizó</w:t>
      </w:r>
      <w:r w:rsidR="00DF038C" w:rsidRPr="00DF038C">
        <w:rPr>
          <w:lang w:val="es-ES"/>
        </w:rPr>
        <w:t xml:space="preserve"> mediante una evaluación aplicada </w:t>
      </w:r>
      <w:r w:rsidR="00DF038C">
        <w:rPr>
          <w:lang w:val="es-ES"/>
        </w:rPr>
        <w:t>a do</w:t>
      </w:r>
      <w:r w:rsidR="00DF038C" w:rsidRPr="00DF038C">
        <w:rPr>
          <w:lang w:val="es-ES"/>
        </w:rPr>
        <w:t xml:space="preserve">s grupos, cada uno conformado por 22 estudiantes; el primer grupo </w:t>
      </w:r>
      <w:r w:rsidR="00367B6E">
        <w:rPr>
          <w:lang w:val="es-ES"/>
        </w:rPr>
        <w:t xml:space="preserve">fue conformado por </w:t>
      </w:r>
      <w:r w:rsidR="00DF038C" w:rsidRPr="00DF038C">
        <w:rPr>
          <w:lang w:val="es-ES"/>
        </w:rPr>
        <w:t>estudiantes de Medio Ambiente</w:t>
      </w:r>
      <w:r w:rsidR="00367B6E">
        <w:rPr>
          <w:lang w:val="es-ES"/>
        </w:rPr>
        <w:t xml:space="preserve"> y</w:t>
      </w:r>
      <w:r w:rsidR="00DF038C" w:rsidRPr="00DF038C">
        <w:rPr>
          <w:lang w:val="es-ES"/>
        </w:rPr>
        <w:t xml:space="preserve"> recibió clases de manera tradicional; mientras que, al segundo grupo</w:t>
      </w:r>
      <w:r w:rsidR="00367B6E">
        <w:rPr>
          <w:lang w:val="es-ES"/>
        </w:rPr>
        <w:t xml:space="preserve"> con estudiantes de Agroindustrias</w:t>
      </w:r>
      <w:r w:rsidR="00DF038C" w:rsidRPr="00DF038C">
        <w:rPr>
          <w:lang w:val="es-ES"/>
        </w:rPr>
        <w:t>, se dictó la clase empleando el software ChemLab</w:t>
      </w:r>
      <w:r w:rsidR="00367B6E">
        <w:rPr>
          <w:lang w:val="es-ES"/>
        </w:rPr>
        <w:t xml:space="preserve">. </w:t>
      </w:r>
      <w:r w:rsidR="00DF038C" w:rsidRPr="00DF038C">
        <w:rPr>
          <w:lang w:val="es-ES"/>
        </w:rPr>
        <w:t xml:space="preserve"> </w:t>
      </w:r>
      <w:r w:rsidR="00D4697F">
        <w:rPr>
          <w:lang w:val="es-ES"/>
        </w:rPr>
        <w:t xml:space="preserve">Como resultado, </w:t>
      </w:r>
      <w:r w:rsidR="00D4697F">
        <w:t>se evidenciaron ciertas falencias en la evaluación aplicada; aunque los estudiantes de Agroindustrias lograron un mayor conocimiento del 96.36% comparado mientras los estudiantes de Medio Ambiente alcanzaron un aprendizaje de 92.73%; deduciendo que las nuevas tecnologías contribuyen a un aprendizaje significativo mayor.</w:t>
      </w:r>
      <w:r w:rsidR="00D026BF" w:rsidRPr="00D026BF">
        <w:t xml:space="preserve"> </w:t>
      </w:r>
      <w:r w:rsidR="00D026BF">
        <w:t xml:space="preserve">En conclusión, e uso de la tecnología </w:t>
      </w:r>
      <w:r w:rsidR="00D026BF" w:rsidRPr="00D026BF">
        <w:t xml:space="preserve">proporciona a los estudiantes una oportunidad de aprender química y, además, les permite desarrollar habilidades como la cooperación, la búsqueda e interpretación de la información, el razonamiento crítico y el aprendizaje </w:t>
      </w:r>
      <w:r w:rsidR="00D026BF">
        <w:t>innovador</w:t>
      </w:r>
      <w:r w:rsidR="00D026BF" w:rsidRPr="00D026BF">
        <w:t>.</w:t>
      </w:r>
    </w:p>
    <w:p w14:paraId="3BA4C76B" w14:textId="299C6034" w:rsidR="00495A4D" w:rsidRPr="00D026BF" w:rsidRDefault="00D026BF" w:rsidP="00DF038C">
      <w:pPr>
        <w:rPr>
          <w:lang w:val="es-ES"/>
        </w:rPr>
      </w:pPr>
      <w:r>
        <w:rPr>
          <w:b/>
          <w:bCs/>
          <w:lang w:val="es-ES"/>
        </w:rPr>
        <w:t>Palabras clave:</w:t>
      </w:r>
      <w:r>
        <w:rPr>
          <w:lang w:val="es-ES"/>
        </w:rPr>
        <w:t xml:space="preserve"> Química, ChemLab, aprendizaje significativo.</w:t>
      </w:r>
    </w:p>
    <w:p w14:paraId="1D306744" w14:textId="77777777" w:rsidR="00AF4139" w:rsidRDefault="00AF4139" w:rsidP="00983E8B">
      <w:pPr>
        <w:jc w:val="center"/>
        <w:rPr>
          <w:b/>
          <w:bCs/>
          <w:lang w:val="es-ES"/>
        </w:rPr>
      </w:pPr>
    </w:p>
    <w:p w14:paraId="3A3A8F14" w14:textId="77777777" w:rsidR="00920629" w:rsidRDefault="00920629" w:rsidP="00983E8B">
      <w:pPr>
        <w:jc w:val="center"/>
        <w:rPr>
          <w:b/>
          <w:bCs/>
          <w:lang w:val="es-ES"/>
        </w:rPr>
      </w:pPr>
    </w:p>
    <w:p w14:paraId="738FCD9A" w14:textId="77777777" w:rsidR="00920629" w:rsidRDefault="00920629" w:rsidP="00983E8B">
      <w:pPr>
        <w:jc w:val="center"/>
        <w:rPr>
          <w:b/>
          <w:bCs/>
          <w:lang w:val="es-ES"/>
        </w:rPr>
      </w:pPr>
    </w:p>
    <w:p w14:paraId="6ECF76E4" w14:textId="77777777" w:rsidR="00920629" w:rsidRDefault="00920629" w:rsidP="00983E8B">
      <w:pPr>
        <w:jc w:val="center"/>
        <w:rPr>
          <w:b/>
          <w:bCs/>
          <w:lang w:val="es-ES"/>
        </w:rPr>
      </w:pPr>
    </w:p>
    <w:p w14:paraId="06E7E8EA" w14:textId="77777777" w:rsidR="00920629" w:rsidRDefault="00920629" w:rsidP="00983E8B">
      <w:pPr>
        <w:jc w:val="center"/>
        <w:rPr>
          <w:b/>
          <w:bCs/>
          <w:lang w:val="es-ES"/>
        </w:rPr>
      </w:pPr>
    </w:p>
    <w:p w14:paraId="58372A28" w14:textId="77777777" w:rsidR="00AF4139" w:rsidRDefault="00AF4139" w:rsidP="00EA00C3">
      <w:pPr>
        <w:jc w:val="left"/>
        <w:rPr>
          <w:b/>
          <w:bCs/>
          <w:lang w:val="es-ES"/>
        </w:rPr>
      </w:pPr>
    </w:p>
    <w:p w14:paraId="4E3E193D" w14:textId="64F64EBA" w:rsidR="00983E8B" w:rsidRDefault="00983E8B" w:rsidP="00EA00C3">
      <w:pPr>
        <w:jc w:val="left"/>
        <w:rPr>
          <w:b/>
          <w:bCs/>
          <w:lang w:val="es-ES"/>
        </w:rPr>
      </w:pPr>
      <w:r>
        <w:rPr>
          <w:b/>
          <w:bCs/>
          <w:lang w:val="es-ES"/>
        </w:rPr>
        <w:t>INTRODUCCIÓN</w:t>
      </w:r>
    </w:p>
    <w:p w14:paraId="32BA9C89" w14:textId="2B3C6E94" w:rsidR="00BB3F2B" w:rsidRDefault="00C463C7" w:rsidP="00BB3F2B">
      <w:pPr>
        <w:rPr>
          <w:lang w:val="es-ES"/>
        </w:rPr>
      </w:pPr>
      <w:r w:rsidRPr="00C463C7">
        <w:rPr>
          <w:lang w:val="es-ES"/>
        </w:rPr>
        <w:t>El aprendizaje de las reacciones y ecuaciones químicas requiere el conocimiento y la comprensión de una variedad de hechos sobre las propiedades químicas de las sustancias</w:t>
      </w:r>
      <w:r>
        <w:rPr>
          <w:lang w:val="es-ES"/>
        </w:rPr>
        <w:t>; estos</w:t>
      </w:r>
      <w:r w:rsidR="00D049B7">
        <w:rPr>
          <w:lang w:val="es-ES"/>
        </w:rPr>
        <w:t xml:space="preserve"> </w:t>
      </w:r>
      <w:r>
        <w:rPr>
          <w:lang w:val="es-ES"/>
        </w:rPr>
        <w:t>requerimiento</w:t>
      </w:r>
      <w:r w:rsidR="00D049B7">
        <w:rPr>
          <w:lang w:val="es-ES"/>
        </w:rPr>
        <w:t>s</w:t>
      </w:r>
      <w:r>
        <w:rPr>
          <w:lang w:val="es-ES"/>
        </w:rPr>
        <w:t xml:space="preserve"> incluyen: </w:t>
      </w:r>
      <w:r w:rsidRPr="00C463C7">
        <w:rPr>
          <w:lang w:val="es-ES"/>
        </w:rPr>
        <w:t xml:space="preserve">comprensión </w:t>
      </w:r>
      <w:r>
        <w:rPr>
          <w:lang w:val="es-ES"/>
        </w:rPr>
        <w:t xml:space="preserve">de la </w:t>
      </w:r>
      <w:r w:rsidRPr="00C463C7">
        <w:rPr>
          <w:lang w:val="es-ES"/>
        </w:rPr>
        <w:t>químic</w:t>
      </w:r>
      <w:r>
        <w:rPr>
          <w:lang w:val="es-ES"/>
        </w:rPr>
        <w:t>a</w:t>
      </w:r>
      <w:r w:rsidRPr="00C463C7">
        <w:rPr>
          <w:lang w:val="es-ES"/>
        </w:rPr>
        <w:t>, razonamiento de conservación</w:t>
      </w:r>
      <w:r w:rsidR="006E6B93">
        <w:rPr>
          <w:lang w:val="es-ES"/>
        </w:rPr>
        <w:t xml:space="preserve"> y</w:t>
      </w:r>
      <w:r w:rsidRPr="00C463C7">
        <w:rPr>
          <w:lang w:val="es-ES"/>
        </w:rPr>
        <w:t xml:space="preserve"> </w:t>
      </w:r>
      <w:r w:rsidR="006E6B93">
        <w:rPr>
          <w:lang w:val="es-ES"/>
        </w:rPr>
        <w:t xml:space="preserve">fundamento teórico </w:t>
      </w:r>
      <w:r w:rsidR="00C06BE6">
        <w:rPr>
          <w:lang w:val="es-ES"/>
        </w:rPr>
        <w:t>(</w:t>
      </w:r>
      <w:proofErr w:type="spellStart"/>
      <w:r w:rsidR="00C06BE6" w:rsidRPr="00C06BE6">
        <w:rPr>
          <w:lang w:val="es-ES"/>
        </w:rPr>
        <w:t>Pyat</w:t>
      </w:r>
      <w:r w:rsidR="00C06BE6">
        <w:rPr>
          <w:lang w:val="es-ES"/>
        </w:rPr>
        <w:t>t</w:t>
      </w:r>
      <w:proofErr w:type="spellEnd"/>
      <w:r w:rsidR="00C06BE6">
        <w:rPr>
          <w:lang w:val="es-ES"/>
        </w:rPr>
        <w:t>, 2012).</w:t>
      </w:r>
      <w:r w:rsidR="00D049B7">
        <w:rPr>
          <w:lang w:val="es-ES"/>
        </w:rPr>
        <w:t xml:space="preserve"> </w:t>
      </w:r>
      <w:r w:rsidR="00BB3F2B" w:rsidRPr="00BB3F2B">
        <w:rPr>
          <w:lang w:val="es-ES"/>
        </w:rPr>
        <w:t xml:space="preserve">Para comprender el cambio químico, </w:t>
      </w:r>
      <w:r w:rsidR="00BB3F2B">
        <w:rPr>
          <w:lang w:val="es-ES"/>
        </w:rPr>
        <w:t>es necesario considerar</w:t>
      </w:r>
      <w:r w:rsidR="00BB3F2B" w:rsidRPr="00BB3F2B">
        <w:rPr>
          <w:lang w:val="es-ES"/>
        </w:rPr>
        <w:t xml:space="preserve"> una sustancia como una entidad que: puede cambiar</w:t>
      </w:r>
      <w:r w:rsidR="004834CA">
        <w:rPr>
          <w:lang w:val="es-ES"/>
        </w:rPr>
        <w:t>,</w:t>
      </w:r>
      <w:r w:rsidR="00BB3F2B">
        <w:rPr>
          <w:lang w:val="es-ES"/>
        </w:rPr>
        <w:t xml:space="preserve"> esta </w:t>
      </w:r>
      <w:r w:rsidR="00BB3F2B" w:rsidRPr="00BB3F2B">
        <w:rPr>
          <w:lang w:val="es-ES"/>
        </w:rPr>
        <w:t>visión debe darse en tres niveles diferentes de representación: macroscópico (experimentos); submicroscópico (electrones, moléculas, átomos); y simbólicos (fórmula estructural</w:t>
      </w:r>
      <w:r w:rsidR="004834CA">
        <w:rPr>
          <w:lang w:val="es-ES"/>
        </w:rPr>
        <w:t xml:space="preserve"> y </w:t>
      </w:r>
      <w:r w:rsidR="00BB3F2B" w:rsidRPr="00BB3F2B">
        <w:rPr>
          <w:lang w:val="es-ES"/>
        </w:rPr>
        <w:t>empírica, modelos informáticos</w:t>
      </w:r>
      <w:r w:rsidR="00BB3F2B">
        <w:rPr>
          <w:lang w:val="es-ES"/>
        </w:rPr>
        <w:t>)</w:t>
      </w:r>
      <w:r w:rsidR="0043527B">
        <w:rPr>
          <w:lang w:val="es-ES"/>
        </w:rPr>
        <w:t>; siendo l</w:t>
      </w:r>
      <w:r w:rsidR="00BB3F2B" w:rsidRPr="00BB3F2B">
        <w:rPr>
          <w:lang w:val="es-ES"/>
        </w:rPr>
        <w:t xml:space="preserve">os tres niveles de representación parte integral del desarrollo de la comprensión de conceptos de química </w:t>
      </w:r>
      <w:r w:rsidR="009560ED">
        <w:rPr>
          <w:lang w:val="es-ES"/>
        </w:rPr>
        <w:t>(</w:t>
      </w:r>
      <w:proofErr w:type="spellStart"/>
      <w:r w:rsidR="009560ED" w:rsidRPr="009560ED">
        <w:rPr>
          <w:lang w:val="es-ES"/>
        </w:rPr>
        <w:t>Zendler</w:t>
      </w:r>
      <w:proofErr w:type="spellEnd"/>
      <w:r w:rsidR="009560ED" w:rsidRPr="009560ED">
        <w:rPr>
          <w:lang w:val="es-ES"/>
        </w:rPr>
        <w:t xml:space="preserve"> </w:t>
      </w:r>
      <w:r w:rsidR="009560ED">
        <w:rPr>
          <w:lang w:val="es-ES"/>
        </w:rPr>
        <w:t>y</w:t>
      </w:r>
      <w:r w:rsidR="009560ED" w:rsidRPr="009560ED">
        <w:rPr>
          <w:lang w:val="es-ES"/>
        </w:rPr>
        <w:t xml:space="preserve"> </w:t>
      </w:r>
      <w:proofErr w:type="spellStart"/>
      <w:r w:rsidR="009560ED" w:rsidRPr="009560ED">
        <w:rPr>
          <w:lang w:val="es-ES"/>
        </w:rPr>
        <w:t>Greiner</w:t>
      </w:r>
      <w:proofErr w:type="spellEnd"/>
      <w:r w:rsidR="009560ED">
        <w:rPr>
          <w:lang w:val="es-ES"/>
        </w:rPr>
        <w:t>, 2020).</w:t>
      </w:r>
    </w:p>
    <w:p w14:paraId="5C5CBA12" w14:textId="59D3DC64" w:rsidR="00723634" w:rsidRPr="00723634" w:rsidRDefault="007020B9" w:rsidP="00480120">
      <w:pPr>
        <w:rPr>
          <w:lang w:val="es-ES"/>
        </w:rPr>
      </w:pPr>
      <w:r>
        <w:rPr>
          <w:lang w:val="es-ES"/>
        </w:rPr>
        <w:t xml:space="preserve">Desde la década de 1990, </w:t>
      </w:r>
      <w:r w:rsidR="00AB6239">
        <w:rPr>
          <w:lang w:val="es-ES"/>
        </w:rPr>
        <w:t>que marcó el</w:t>
      </w:r>
      <w:r>
        <w:rPr>
          <w:lang w:val="es-ES"/>
        </w:rPr>
        <w:t xml:space="preserve"> inici</w:t>
      </w:r>
      <w:r w:rsidR="00AB6239">
        <w:rPr>
          <w:lang w:val="es-ES"/>
        </w:rPr>
        <w:t>o</w:t>
      </w:r>
      <w:r>
        <w:rPr>
          <w:lang w:val="es-ES"/>
        </w:rPr>
        <w:t xml:space="preserve"> la era digital, se han desarrollado un sin número de recursos digitales </w:t>
      </w:r>
      <w:r w:rsidR="00AB6239">
        <w:rPr>
          <w:lang w:val="es-ES"/>
        </w:rPr>
        <w:t>para el</w:t>
      </w:r>
      <w:r w:rsidRPr="007020B9">
        <w:rPr>
          <w:lang w:val="es-ES"/>
        </w:rPr>
        <w:t xml:space="preserve"> aprendizaje de la química</w:t>
      </w:r>
      <w:r>
        <w:rPr>
          <w:lang w:val="es-ES"/>
        </w:rPr>
        <w:t>; bajo este enfoque, l</w:t>
      </w:r>
      <w:r w:rsidRPr="007020B9">
        <w:rPr>
          <w:lang w:val="es-ES"/>
        </w:rPr>
        <w:t>a aplicación de las</w:t>
      </w:r>
      <w:r w:rsidRPr="007020B9">
        <w:t xml:space="preserve"> </w:t>
      </w:r>
      <w:r>
        <w:t>T</w:t>
      </w:r>
      <w:r w:rsidRPr="007020B9">
        <w:rPr>
          <w:lang w:val="es-ES"/>
        </w:rPr>
        <w:t xml:space="preserve">ecnologías de Información y Comunicación </w:t>
      </w:r>
      <w:r>
        <w:rPr>
          <w:lang w:val="es-ES"/>
        </w:rPr>
        <w:t>(</w:t>
      </w:r>
      <w:r w:rsidRPr="007020B9">
        <w:rPr>
          <w:lang w:val="es-ES"/>
        </w:rPr>
        <w:t>TIC</w:t>
      </w:r>
      <w:r>
        <w:rPr>
          <w:lang w:val="es-ES"/>
        </w:rPr>
        <w:t>s)</w:t>
      </w:r>
      <w:r w:rsidRPr="007020B9">
        <w:rPr>
          <w:lang w:val="es-ES"/>
        </w:rPr>
        <w:t xml:space="preserve">, usadas como estrategia pedagógica, brindan la posibilidad de crear oportunidades para guiar e incrementar el aprendizaje </w:t>
      </w:r>
      <w:r w:rsidR="00A46856">
        <w:rPr>
          <w:lang w:val="es-ES"/>
        </w:rPr>
        <w:t>(Daza et al., 2009)</w:t>
      </w:r>
      <w:r w:rsidRPr="007020B9">
        <w:rPr>
          <w:lang w:val="es-ES"/>
        </w:rPr>
        <w:t>.</w:t>
      </w:r>
      <w:r w:rsidR="00AB6239">
        <w:rPr>
          <w:lang w:val="es-ES"/>
        </w:rPr>
        <w:t xml:space="preserve"> </w:t>
      </w:r>
      <w:r w:rsidR="00723634">
        <w:rPr>
          <w:lang w:val="es-ES"/>
        </w:rPr>
        <w:t>En tendencias de</w:t>
      </w:r>
      <w:r w:rsidR="00723634" w:rsidRPr="00723634">
        <w:rPr>
          <w:lang w:val="es-ES"/>
        </w:rPr>
        <w:t xml:space="preserve"> globalidad, en el Ecuador las TIC</w:t>
      </w:r>
      <w:r w:rsidR="00723634">
        <w:rPr>
          <w:lang w:val="es-ES"/>
        </w:rPr>
        <w:t>s</w:t>
      </w:r>
      <w:r w:rsidR="00723634" w:rsidRPr="00723634">
        <w:rPr>
          <w:lang w:val="es-ES"/>
        </w:rPr>
        <w:t xml:space="preserve"> p</w:t>
      </w:r>
      <w:r w:rsidR="00AB6239">
        <w:rPr>
          <w:lang w:val="es-ES"/>
        </w:rPr>
        <w:t>lantean</w:t>
      </w:r>
      <w:r w:rsidR="00723634" w:rsidRPr="00723634">
        <w:rPr>
          <w:lang w:val="es-ES"/>
        </w:rPr>
        <w:t xml:space="preserve"> un nuevo reto al</w:t>
      </w:r>
      <w:r w:rsidR="00723634">
        <w:rPr>
          <w:lang w:val="es-ES"/>
        </w:rPr>
        <w:t xml:space="preserve"> </w:t>
      </w:r>
      <w:r w:rsidR="00723634" w:rsidRPr="00723634">
        <w:rPr>
          <w:lang w:val="es-ES"/>
        </w:rPr>
        <w:t>sistema educativo</w:t>
      </w:r>
      <w:r w:rsidR="00723634">
        <w:rPr>
          <w:lang w:val="es-ES"/>
        </w:rPr>
        <w:t xml:space="preserve"> que debe pasar de </w:t>
      </w:r>
      <w:r w:rsidR="00723634" w:rsidRPr="00723634">
        <w:rPr>
          <w:lang w:val="es-ES"/>
        </w:rPr>
        <w:t>un modelo tradicional de</w:t>
      </w:r>
      <w:r w:rsidR="00723634">
        <w:rPr>
          <w:lang w:val="es-ES"/>
        </w:rPr>
        <w:t xml:space="preserve"> </w:t>
      </w:r>
      <w:r w:rsidR="00723634" w:rsidRPr="00723634">
        <w:rPr>
          <w:lang w:val="es-ES"/>
        </w:rPr>
        <w:t xml:space="preserve">formación, </w:t>
      </w:r>
      <w:r w:rsidR="00975D5C">
        <w:rPr>
          <w:lang w:val="es-ES"/>
        </w:rPr>
        <w:t>a</w:t>
      </w:r>
      <w:r w:rsidR="00723634" w:rsidRPr="00723634">
        <w:rPr>
          <w:lang w:val="es-ES"/>
        </w:rPr>
        <w:t xml:space="preserve"> formas más flexibles de interac</w:t>
      </w:r>
      <w:r w:rsidR="00975D5C">
        <w:rPr>
          <w:lang w:val="es-ES"/>
        </w:rPr>
        <w:t>ción;</w:t>
      </w:r>
      <w:r w:rsidR="00723634" w:rsidRPr="00723634">
        <w:rPr>
          <w:lang w:val="es-ES"/>
        </w:rPr>
        <w:t xml:space="preserve"> con </w:t>
      </w:r>
      <w:r w:rsidR="00480120">
        <w:rPr>
          <w:lang w:val="es-ES"/>
        </w:rPr>
        <w:t>tendencias a</w:t>
      </w:r>
      <w:r w:rsidR="00723634" w:rsidRPr="00723634">
        <w:rPr>
          <w:lang w:val="es-ES"/>
        </w:rPr>
        <w:t xml:space="preserve"> desarroll</w:t>
      </w:r>
      <w:r w:rsidR="00480120">
        <w:rPr>
          <w:lang w:val="es-ES"/>
        </w:rPr>
        <w:t>ar</w:t>
      </w:r>
      <w:r w:rsidR="00723634" w:rsidRPr="00723634">
        <w:rPr>
          <w:lang w:val="es-ES"/>
        </w:rPr>
        <w:t xml:space="preserve"> propuestas</w:t>
      </w:r>
      <w:r w:rsidR="00975D5C">
        <w:rPr>
          <w:lang w:val="es-ES"/>
        </w:rPr>
        <w:t xml:space="preserve"> </w:t>
      </w:r>
      <w:r w:rsidR="00723634" w:rsidRPr="00723634">
        <w:rPr>
          <w:lang w:val="es-ES"/>
        </w:rPr>
        <w:t>creativas e innovadoras</w:t>
      </w:r>
      <w:r w:rsidR="00AB6239">
        <w:rPr>
          <w:lang w:val="es-ES"/>
        </w:rPr>
        <w:t xml:space="preserve"> </w:t>
      </w:r>
      <w:r w:rsidR="00D410A2">
        <w:rPr>
          <w:lang w:val="es-ES"/>
        </w:rPr>
        <w:t>(Espinel, 2020).</w:t>
      </w:r>
    </w:p>
    <w:p w14:paraId="582AC364" w14:textId="0BA6D068" w:rsidR="005B41D9" w:rsidRDefault="00142C0A" w:rsidP="008B5F67">
      <w:pPr>
        <w:rPr>
          <w:lang w:val="es-ES"/>
        </w:rPr>
      </w:pPr>
      <w:r>
        <w:rPr>
          <w:lang w:val="es-ES"/>
        </w:rPr>
        <w:t>Como se ha descrito, e</w:t>
      </w:r>
      <w:r w:rsidRPr="00142C0A">
        <w:rPr>
          <w:lang w:val="es-ES"/>
        </w:rPr>
        <w:t xml:space="preserve">l proceso de aprendizaje de la química no solo se limita al estudio de teorías o conceptos, sino que está respaldado por experimentos </w:t>
      </w:r>
      <w:r>
        <w:rPr>
          <w:lang w:val="es-ES"/>
        </w:rPr>
        <w:t>que implican diversas reacciones; l</w:t>
      </w:r>
      <w:r w:rsidRPr="00142C0A">
        <w:rPr>
          <w:lang w:val="es-ES"/>
        </w:rPr>
        <w:t xml:space="preserve">a mayor parte </w:t>
      </w:r>
      <w:r w:rsidR="003345E4">
        <w:rPr>
          <w:lang w:val="es-ES"/>
        </w:rPr>
        <w:t>de la</w:t>
      </w:r>
      <w:r w:rsidRPr="00142C0A">
        <w:rPr>
          <w:lang w:val="es-ES"/>
        </w:rPr>
        <w:t xml:space="preserve"> química es abstract</w:t>
      </w:r>
      <w:r w:rsidR="00AF640F">
        <w:rPr>
          <w:lang w:val="es-ES"/>
        </w:rPr>
        <w:t>a</w:t>
      </w:r>
      <w:r>
        <w:rPr>
          <w:lang w:val="es-ES"/>
        </w:rPr>
        <w:t xml:space="preserve"> (</w:t>
      </w:r>
      <w:r w:rsidRPr="00142C0A">
        <w:rPr>
          <w:lang w:val="es-ES"/>
        </w:rPr>
        <w:t>átomos, moléculas, enlaces químicos</w:t>
      </w:r>
      <w:r>
        <w:rPr>
          <w:lang w:val="es-ES"/>
        </w:rPr>
        <w:t xml:space="preserve">) lo que dificulta </w:t>
      </w:r>
      <w:r w:rsidRPr="00142C0A">
        <w:rPr>
          <w:lang w:val="es-ES"/>
        </w:rPr>
        <w:t xml:space="preserve">comprender los </w:t>
      </w:r>
      <w:r w:rsidR="00360CE6">
        <w:rPr>
          <w:lang w:val="es-ES"/>
        </w:rPr>
        <w:t xml:space="preserve">cambios </w:t>
      </w:r>
      <w:r w:rsidRPr="00142C0A">
        <w:rPr>
          <w:lang w:val="es-ES"/>
        </w:rPr>
        <w:t>químicos</w:t>
      </w:r>
      <w:r w:rsidR="00360CE6">
        <w:rPr>
          <w:lang w:val="es-ES"/>
        </w:rPr>
        <w:t>; p</w:t>
      </w:r>
      <w:r w:rsidRPr="00142C0A">
        <w:rPr>
          <w:lang w:val="es-ES"/>
        </w:rPr>
        <w:t xml:space="preserve">or lo tanto, es necesario </w:t>
      </w:r>
      <w:r w:rsidR="00360CE6">
        <w:rPr>
          <w:lang w:val="es-ES"/>
        </w:rPr>
        <w:t>el uso de</w:t>
      </w:r>
      <w:r w:rsidRPr="00142C0A">
        <w:rPr>
          <w:lang w:val="es-ES"/>
        </w:rPr>
        <w:t xml:space="preserve"> un medio de aprendizaje alternativo que pueda presentar la visualización de objetos </w:t>
      </w:r>
      <w:proofErr w:type="spellStart"/>
      <w:r w:rsidRPr="00142C0A">
        <w:rPr>
          <w:lang w:val="es-ES"/>
        </w:rPr>
        <w:t>microquímicos</w:t>
      </w:r>
      <w:proofErr w:type="spellEnd"/>
      <w:r w:rsidRPr="00142C0A">
        <w:rPr>
          <w:lang w:val="es-ES"/>
        </w:rPr>
        <w:t xml:space="preserve"> para mejorar los resultados de aprendizaje de los estudiantes</w:t>
      </w:r>
      <w:r w:rsidR="00963FEB">
        <w:rPr>
          <w:lang w:val="es-ES"/>
        </w:rPr>
        <w:t xml:space="preserve"> (Nais et al., 2019)</w:t>
      </w:r>
      <w:r w:rsidRPr="00142C0A">
        <w:rPr>
          <w:lang w:val="es-ES"/>
        </w:rPr>
        <w:t>.</w:t>
      </w:r>
      <w:r w:rsidR="00AF640F">
        <w:rPr>
          <w:lang w:val="es-ES"/>
        </w:rPr>
        <w:t xml:space="preserve"> </w:t>
      </w:r>
      <w:r w:rsidR="00027BB0">
        <w:rPr>
          <w:lang w:val="es-ES"/>
        </w:rPr>
        <w:t>Por tanto,</w:t>
      </w:r>
      <w:r w:rsidR="008B5F67">
        <w:rPr>
          <w:lang w:val="es-ES"/>
        </w:rPr>
        <w:t xml:space="preserve"> esta investigación tuvo la finalidad de </w:t>
      </w:r>
      <w:bookmarkStart w:id="1" w:name="_Hlk83127908"/>
      <w:r w:rsidR="008B5F67">
        <w:rPr>
          <w:lang w:val="es-ES"/>
        </w:rPr>
        <w:t xml:space="preserve">determinar las </w:t>
      </w:r>
      <w:r w:rsidR="008B5F67" w:rsidRPr="008B5F67">
        <w:rPr>
          <w:lang w:val="es-ES"/>
        </w:rPr>
        <w:t xml:space="preserve">experiencias de aprendizaje significativo en la química mediante el uso de </w:t>
      </w:r>
      <w:proofErr w:type="spellStart"/>
      <w:r w:rsidR="008B5F67" w:rsidRPr="008B5F67">
        <w:rPr>
          <w:lang w:val="es-ES"/>
        </w:rPr>
        <w:t>TICs</w:t>
      </w:r>
      <w:proofErr w:type="spellEnd"/>
      <w:r w:rsidR="008B5F67">
        <w:rPr>
          <w:lang w:val="es-ES"/>
        </w:rPr>
        <w:t xml:space="preserve"> en la ESPAM MFL.</w:t>
      </w:r>
    </w:p>
    <w:p w14:paraId="09DF2045" w14:textId="77777777" w:rsidR="00920629" w:rsidRDefault="00920629" w:rsidP="008B5F67">
      <w:pPr>
        <w:rPr>
          <w:lang w:val="es-ES"/>
        </w:rPr>
      </w:pPr>
    </w:p>
    <w:p w14:paraId="0040CB5B" w14:textId="77777777" w:rsidR="00920629" w:rsidRDefault="00920629" w:rsidP="008B5F67">
      <w:pPr>
        <w:rPr>
          <w:lang w:val="es-ES"/>
        </w:rPr>
      </w:pPr>
    </w:p>
    <w:bookmarkEnd w:id="1"/>
    <w:p w14:paraId="5BD031B8" w14:textId="49471369" w:rsidR="001016F3" w:rsidRDefault="001016F3" w:rsidP="00920629">
      <w:pPr>
        <w:jc w:val="left"/>
        <w:rPr>
          <w:b/>
          <w:bCs/>
          <w:lang w:val="es-ES"/>
        </w:rPr>
      </w:pPr>
      <w:r>
        <w:rPr>
          <w:b/>
          <w:bCs/>
          <w:lang w:val="es-ES"/>
        </w:rPr>
        <w:t>MATERIALES Y MÉTODOS</w:t>
      </w:r>
    </w:p>
    <w:p w14:paraId="74E62540" w14:textId="24399872" w:rsidR="001016F3" w:rsidRPr="001016F3" w:rsidRDefault="008B7200" w:rsidP="008B7200">
      <w:pPr>
        <w:rPr>
          <w:lang w:val="es-ES"/>
        </w:rPr>
      </w:pPr>
      <w:r>
        <w:rPr>
          <w:lang w:val="es-ES"/>
        </w:rPr>
        <w:t xml:space="preserve">Esta investigación es de tipo transversal, pues se realizó la recolección de datos mediante una evaluación aplicada a estudiantes de las carreras de Medio Ambiente y Agroindustrias de la ESPAM MFL; el nivel investigativo es descriptivo dado que se analiza el aporte de las TICs en el aprendizaje significativo de la química. Así mismo, se tomó como fundamento </w:t>
      </w:r>
      <w:r w:rsidRPr="008B7200">
        <w:rPr>
          <w:lang w:val="es-ES"/>
        </w:rPr>
        <w:t>el paradigma de investigación cuantitativo, pues los resultados obtenidos fueron tabulados y</w:t>
      </w:r>
      <w:r>
        <w:rPr>
          <w:lang w:val="es-ES"/>
        </w:rPr>
        <w:t xml:space="preserve"> </w:t>
      </w:r>
      <w:r w:rsidRPr="008B7200">
        <w:rPr>
          <w:lang w:val="es-ES"/>
        </w:rPr>
        <w:t>analizados estadísticamente</w:t>
      </w:r>
      <w:r>
        <w:rPr>
          <w:lang w:val="es-ES"/>
        </w:rPr>
        <w:t>.</w:t>
      </w:r>
      <w:r w:rsidRPr="008B7200">
        <w:rPr>
          <w:lang w:val="es-ES"/>
        </w:rPr>
        <w:t xml:space="preserve"> </w:t>
      </w:r>
    </w:p>
    <w:p w14:paraId="3C2FEB61" w14:textId="01946AAE" w:rsidR="001016F3" w:rsidRPr="001016F3" w:rsidRDefault="00E96174" w:rsidP="001016F3">
      <w:pPr>
        <w:rPr>
          <w:lang w:val="es-ES"/>
        </w:rPr>
      </w:pPr>
      <w:r>
        <w:rPr>
          <w:lang w:val="es-ES"/>
        </w:rPr>
        <w:t>La unidad de análisis la constituyeron la totalidad de estudiantes del segundo semestre (</w:t>
      </w:r>
      <w:r w:rsidR="00342FDB">
        <w:rPr>
          <w:lang w:val="es-ES"/>
        </w:rPr>
        <w:t xml:space="preserve">período abril – septiembre </w:t>
      </w:r>
      <w:r>
        <w:rPr>
          <w:lang w:val="es-ES"/>
        </w:rPr>
        <w:t>año 2012) de las carreras de Medio Ambiente y Agroindustrias. Se establecieron dos grupos, cada uno conformado por 22 estudiantes; se realizó una capacitación sobre las reacciones ácido-base, el primer grupo</w:t>
      </w:r>
      <w:r w:rsidR="00961022">
        <w:rPr>
          <w:lang w:val="es-ES"/>
        </w:rPr>
        <w:t xml:space="preserve"> (estudiantes de Medio Ambiente)</w:t>
      </w:r>
      <w:r>
        <w:rPr>
          <w:lang w:val="es-ES"/>
        </w:rPr>
        <w:t xml:space="preserve"> recibió clases de manera tradicional incluyendo el uso de diapositivas, pizarra, materiales y reactivos; </w:t>
      </w:r>
      <w:r w:rsidR="00E950BF">
        <w:rPr>
          <w:lang w:val="es-ES"/>
        </w:rPr>
        <w:t>mientras que, a</w:t>
      </w:r>
      <w:r>
        <w:rPr>
          <w:lang w:val="es-ES"/>
        </w:rPr>
        <w:t>l segundo grupo</w:t>
      </w:r>
      <w:r w:rsidR="00E950BF">
        <w:rPr>
          <w:lang w:val="es-ES"/>
        </w:rPr>
        <w:t>, se dictó la clase empleando el software ChemLab</w:t>
      </w:r>
      <w:r w:rsidR="00961022">
        <w:rPr>
          <w:lang w:val="es-ES"/>
        </w:rPr>
        <w:t xml:space="preserve"> (estudiantes de Agroindustrias)</w:t>
      </w:r>
      <w:r w:rsidR="00E950BF">
        <w:rPr>
          <w:lang w:val="es-ES"/>
        </w:rPr>
        <w:t xml:space="preserve">. </w:t>
      </w:r>
    </w:p>
    <w:p w14:paraId="511506A2" w14:textId="541EC22B" w:rsidR="00992634" w:rsidRDefault="002239F9" w:rsidP="00342FDB">
      <w:pPr>
        <w:rPr>
          <w:lang w:val="es-ES"/>
        </w:rPr>
      </w:pPr>
      <w:r>
        <w:rPr>
          <w:lang w:val="es-ES"/>
        </w:rPr>
        <w:t xml:space="preserve">La recolección de datos se realizó mediante el instrumento cuestionario, que estuvo conformado por 10 preguntas referentes al contenido de la clase impartida. Los resultados obtenidos fueron </w:t>
      </w:r>
      <w:r w:rsidR="004A0FC7">
        <w:rPr>
          <w:lang w:val="es-ES"/>
        </w:rPr>
        <w:t xml:space="preserve">expresados en porcentaje y </w:t>
      </w:r>
      <w:r>
        <w:rPr>
          <w:lang w:val="es-ES"/>
        </w:rPr>
        <w:t xml:space="preserve">tabulados en </w:t>
      </w:r>
      <w:r w:rsidRPr="002239F9">
        <w:rPr>
          <w:lang w:val="es-ES"/>
        </w:rPr>
        <w:t>Microsoft Excel 2010</w:t>
      </w:r>
      <w:r w:rsidR="004A0FC7">
        <w:rPr>
          <w:lang w:val="es-ES"/>
        </w:rPr>
        <w:t>;</w:t>
      </w:r>
      <w:r w:rsidRPr="002239F9">
        <w:rPr>
          <w:lang w:val="es-ES"/>
        </w:rPr>
        <w:t xml:space="preserve"> </w:t>
      </w:r>
      <w:r w:rsidR="001644F9">
        <w:rPr>
          <w:lang w:val="es-ES"/>
        </w:rPr>
        <w:t>e</w:t>
      </w:r>
      <w:r w:rsidR="001644F9" w:rsidRPr="001644F9">
        <w:rPr>
          <w:lang w:val="es-ES"/>
        </w:rPr>
        <w:t xml:space="preserve">l procesamiento de datos se llevó a cabo con apoyo de estadística descriptiva, </w:t>
      </w:r>
      <w:r w:rsidR="001644F9">
        <w:rPr>
          <w:lang w:val="es-ES"/>
        </w:rPr>
        <w:t>pues</w:t>
      </w:r>
      <w:r w:rsidR="001644F9" w:rsidRPr="001644F9">
        <w:rPr>
          <w:lang w:val="es-ES"/>
        </w:rPr>
        <w:t xml:space="preserve"> se estableció la frecuencia de cada opción de respuesta</w:t>
      </w:r>
      <w:r>
        <w:rPr>
          <w:lang w:val="es-ES"/>
        </w:rPr>
        <w:t xml:space="preserve">. </w:t>
      </w:r>
      <w:r w:rsidRPr="002239F9">
        <w:rPr>
          <w:lang w:val="es-ES"/>
        </w:rPr>
        <w:t xml:space="preserve">El estudio se centró en </w:t>
      </w:r>
      <w:r>
        <w:rPr>
          <w:lang w:val="es-ES"/>
        </w:rPr>
        <w:t>la</w:t>
      </w:r>
      <w:r w:rsidRPr="002239F9">
        <w:rPr>
          <w:lang w:val="es-ES"/>
        </w:rPr>
        <w:t xml:space="preserve"> determina</w:t>
      </w:r>
      <w:r>
        <w:rPr>
          <w:lang w:val="es-ES"/>
        </w:rPr>
        <w:t>ción de</w:t>
      </w:r>
      <w:r w:rsidRPr="002239F9">
        <w:rPr>
          <w:lang w:val="es-ES"/>
        </w:rPr>
        <w:t xml:space="preserve"> las experiencias de aprendizaje significativo en la química mediante el uso de </w:t>
      </w:r>
      <w:proofErr w:type="spellStart"/>
      <w:r w:rsidRPr="002239F9">
        <w:rPr>
          <w:lang w:val="es-ES"/>
        </w:rPr>
        <w:t>TICs</w:t>
      </w:r>
      <w:proofErr w:type="spellEnd"/>
      <w:r w:rsidRPr="002239F9">
        <w:rPr>
          <w:lang w:val="es-ES"/>
        </w:rPr>
        <w:t xml:space="preserve"> en la ESPAM MF</w:t>
      </w:r>
      <w:r w:rsidR="00342FDB">
        <w:rPr>
          <w:lang w:val="es-ES"/>
        </w:rPr>
        <w:t>L</w:t>
      </w:r>
      <w:r w:rsidRPr="002239F9">
        <w:rPr>
          <w:lang w:val="es-ES"/>
        </w:rPr>
        <w:t>, por lo que la</w:t>
      </w:r>
      <w:r w:rsidR="00342FDB">
        <w:rPr>
          <w:lang w:val="es-ES"/>
        </w:rPr>
        <w:t xml:space="preserve"> </w:t>
      </w:r>
      <w:r w:rsidRPr="002239F9">
        <w:rPr>
          <w:lang w:val="es-ES"/>
        </w:rPr>
        <w:t xml:space="preserve">interpretación se realizó </w:t>
      </w:r>
      <w:r w:rsidR="00342FDB">
        <w:rPr>
          <w:lang w:val="es-ES"/>
        </w:rPr>
        <w:t>a cada una de las preguntas del instrumento</w:t>
      </w:r>
      <w:r w:rsidR="004A0FC7">
        <w:rPr>
          <w:lang w:val="es-ES"/>
        </w:rPr>
        <w:t xml:space="preserve"> de evaluación</w:t>
      </w:r>
      <w:r w:rsidR="00342FDB">
        <w:rPr>
          <w:lang w:val="es-ES"/>
        </w:rPr>
        <w:t xml:space="preserve">. </w:t>
      </w:r>
    </w:p>
    <w:p w14:paraId="7FB50960" w14:textId="0F54DAC6" w:rsidR="008F1242" w:rsidRDefault="008F1242" w:rsidP="00920629">
      <w:pPr>
        <w:jc w:val="left"/>
        <w:rPr>
          <w:b/>
          <w:bCs/>
          <w:lang w:val="es-ES"/>
        </w:rPr>
      </w:pPr>
      <w:r>
        <w:rPr>
          <w:b/>
          <w:bCs/>
          <w:lang w:val="es-ES"/>
        </w:rPr>
        <w:t>RESULTADOS Y DISCUSIÓN</w:t>
      </w:r>
    </w:p>
    <w:p w14:paraId="124CD176" w14:textId="6049A008" w:rsidR="00622A69" w:rsidRDefault="00622A69" w:rsidP="00622A69">
      <w:r>
        <w:t>En primera instancia, se realizó una evaluación previa constituida por 5 preguntas basadas en el tema valoración ácido</w:t>
      </w:r>
      <w:r w:rsidR="00AC657A">
        <w:t>-</w:t>
      </w:r>
      <w:r>
        <w:t xml:space="preserve">base, de lo cual se obtuvieron los siguientes porcentajes: los alumnos de Medio Ambiente lograron contestar correctamente el 70.91% del total de las preguntas, no obstante, los alumnos de </w:t>
      </w:r>
      <w:r>
        <w:lastRenderedPageBreak/>
        <w:t>Agroindustria contestaron correctamente el 73.63% de las cinco preguntas (</w:t>
      </w:r>
      <w:r w:rsidR="00797035">
        <w:t>f</w:t>
      </w:r>
      <w:r>
        <w:t xml:space="preserve">igura 1). </w:t>
      </w:r>
    </w:p>
    <w:p w14:paraId="32070F47" w14:textId="4C6DB3A5" w:rsidR="00BE7640" w:rsidRDefault="006B689B" w:rsidP="00F82E83">
      <w:pPr>
        <w:spacing w:after="0"/>
        <w:jc w:val="center"/>
      </w:pPr>
      <w:r>
        <w:rPr>
          <w:noProof/>
          <w:lang w:eastAsia="es-EC"/>
        </w:rPr>
        <w:drawing>
          <wp:inline distT="0" distB="0" distL="0" distR="0" wp14:anchorId="630DED79" wp14:editId="535BA127">
            <wp:extent cx="4257675" cy="425267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Effect>
                                <a14:saturation sat="4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263844" cy="4258837"/>
                    </a:xfrm>
                    <a:prstGeom prst="rect">
                      <a:avLst/>
                    </a:prstGeom>
                    <a:noFill/>
                  </pic:spPr>
                </pic:pic>
              </a:graphicData>
            </a:graphic>
          </wp:inline>
        </w:drawing>
      </w:r>
    </w:p>
    <w:p w14:paraId="0A54458D" w14:textId="0268291B" w:rsidR="00297360" w:rsidRPr="00BE7640" w:rsidRDefault="00BE7640" w:rsidP="00BE7640">
      <w:pPr>
        <w:pStyle w:val="Descripcin"/>
        <w:jc w:val="center"/>
        <w:rPr>
          <w:rFonts w:ascii="Arial Narrow" w:hAnsi="Arial Narrow"/>
          <w:i w:val="0"/>
          <w:iCs w:val="0"/>
          <w:color w:val="0D0D0D" w:themeColor="text1" w:themeTint="F2"/>
          <w:sz w:val="20"/>
          <w:szCs w:val="20"/>
        </w:rPr>
      </w:pPr>
      <w:r w:rsidRPr="00BE7640">
        <w:rPr>
          <w:rFonts w:ascii="Arial Narrow" w:hAnsi="Arial Narrow"/>
          <w:b/>
          <w:bCs/>
          <w:i w:val="0"/>
          <w:iCs w:val="0"/>
          <w:color w:val="0D0D0D" w:themeColor="text1" w:themeTint="F2"/>
          <w:sz w:val="20"/>
          <w:szCs w:val="20"/>
        </w:rPr>
        <w:t xml:space="preserve">Figura </w:t>
      </w:r>
      <w:r w:rsidRPr="00BE7640">
        <w:rPr>
          <w:rFonts w:ascii="Arial Narrow" w:hAnsi="Arial Narrow"/>
          <w:b/>
          <w:bCs/>
          <w:i w:val="0"/>
          <w:iCs w:val="0"/>
          <w:color w:val="0D0D0D" w:themeColor="text1" w:themeTint="F2"/>
          <w:sz w:val="20"/>
          <w:szCs w:val="20"/>
        </w:rPr>
        <w:fldChar w:fldCharType="begin"/>
      </w:r>
      <w:r w:rsidRPr="00BE7640">
        <w:rPr>
          <w:rFonts w:ascii="Arial Narrow" w:hAnsi="Arial Narrow"/>
          <w:b/>
          <w:bCs/>
          <w:i w:val="0"/>
          <w:iCs w:val="0"/>
          <w:color w:val="0D0D0D" w:themeColor="text1" w:themeTint="F2"/>
          <w:sz w:val="20"/>
          <w:szCs w:val="20"/>
        </w:rPr>
        <w:instrText xml:space="preserve"> SEQ Figura \* ARABIC </w:instrText>
      </w:r>
      <w:r w:rsidRPr="00BE7640">
        <w:rPr>
          <w:rFonts w:ascii="Arial Narrow" w:hAnsi="Arial Narrow"/>
          <w:b/>
          <w:bCs/>
          <w:i w:val="0"/>
          <w:iCs w:val="0"/>
          <w:color w:val="0D0D0D" w:themeColor="text1" w:themeTint="F2"/>
          <w:sz w:val="20"/>
          <w:szCs w:val="20"/>
        </w:rPr>
        <w:fldChar w:fldCharType="separate"/>
      </w:r>
      <w:r w:rsidR="006A6746">
        <w:rPr>
          <w:rFonts w:ascii="Arial Narrow" w:hAnsi="Arial Narrow"/>
          <w:b/>
          <w:bCs/>
          <w:i w:val="0"/>
          <w:iCs w:val="0"/>
          <w:noProof/>
          <w:color w:val="0D0D0D" w:themeColor="text1" w:themeTint="F2"/>
          <w:sz w:val="20"/>
          <w:szCs w:val="20"/>
        </w:rPr>
        <w:t>1</w:t>
      </w:r>
      <w:r w:rsidRPr="00BE7640">
        <w:rPr>
          <w:rFonts w:ascii="Arial Narrow" w:hAnsi="Arial Narrow"/>
          <w:b/>
          <w:bCs/>
          <w:i w:val="0"/>
          <w:iCs w:val="0"/>
          <w:color w:val="0D0D0D" w:themeColor="text1" w:themeTint="F2"/>
          <w:sz w:val="20"/>
          <w:szCs w:val="20"/>
        </w:rPr>
        <w:fldChar w:fldCharType="end"/>
      </w:r>
      <w:r w:rsidRPr="00BE7640">
        <w:rPr>
          <w:rFonts w:ascii="Arial Narrow" w:hAnsi="Arial Narrow"/>
          <w:i w:val="0"/>
          <w:iCs w:val="0"/>
          <w:color w:val="0D0D0D" w:themeColor="text1" w:themeTint="F2"/>
          <w:sz w:val="20"/>
          <w:szCs w:val="20"/>
        </w:rPr>
        <w:t xml:space="preserve">. </w:t>
      </w:r>
      <w:r>
        <w:rPr>
          <w:rFonts w:ascii="Arial Narrow" w:hAnsi="Arial Narrow"/>
          <w:i w:val="0"/>
          <w:iCs w:val="0"/>
          <w:color w:val="0D0D0D" w:themeColor="text1" w:themeTint="F2"/>
          <w:sz w:val="20"/>
          <w:szCs w:val="20"/>
        </w:rPr>
        <w:t>Porcentaje de a</w:t>
      </w:r>
      <w:r w:rsidRPr="009F2B33">
        <w:rPr>
          <w:rFonts w:ascii="Arial Narrow" w:hAnsi="Arial Narrow"/>
          <w:i w:val="0"/>
          <w:iCs w:val="0"/>
          <w:color w:val="0D0D0D" w:themeColor="text1" w:themeTint="F2"/>
          <w:sz w:val="20"/>
          <w:szCs w:val="20"/>
        </w:rPr>
        <w:t xml:space="preserve">ciertos en la </w:t>
      </w:r>
      <w:r w:rsidR="00C44681">
        <w:rPr>
          <w:rFonts w:ascii="Arial Narrow" w:hAnsi="Arial Narrow"/>
          <w:i w:val="0"/>
          <w:iCs w:val="0"/>
          <w:color w:val="0D0D0D" w:themeColor="text1" w:themeTint="F2"/>
          <w:sz w:val="20"/>
          <w:szCs w:val="20"/>
        </w:rPr>
        <w:t>evaluación previa</w:t>
      </w:r>
      <w:r w:rsidRPr="009F2B33">
        <w:rPr>
          <w:rFonts w:ascii="Arial Narrow" w:hAnsi="Arial Narrow"/>
          <w:i w:val="0"/>
          <w:iCs w:val="0"/>
          <w:color w:val="0D0D0D" w:themeColor="text1" w:themeTint="F2"/>
          <w:sz w:val="20"/>
          <w:szCs w:val="20"/>
        </w:rPr>
        <w:t>.</w:t>
      </w:r>
    </w:p>
    <w:p w14:paraId="1B2900F6" w14:textId="188BF819" w:rsidR="00297360" w:rsidRDefault="00950803" w:rsidP="00297360">
      <w:pPr>
        <w:rPr>
          <w:rFonts w:cs="Arial"/>
          <w:szCs w:val="24"/>
        </w:rPr>
      </w:pPr>
      <w:r>
        <w:t xml:space="preserve">En cuanto al instrumento de evaluación, a </w:t>
      </w:r>
      <w:r w:rsidR="00AE534A">
        <w:t>continuación,</w:t>
      </w:r>
      <w:r>
        <w:t xml:space="preserve"> se muestran los resultados de cada pregunta</w:t>
      </w:r>
      <w:r w:rsidR="00211227">
        <w:t>:</w:t>
      </w:r>
    </w:p>
    <w:p w14:paraId="73D8B0EF" w14:textId="2A239A12" w:rsidR="00297360" w:rsidRDefault="00297360" w:rsidP="00AE534A">
      <w:pPr>
        <w:pStyle w:val="Prrafodelista"/>
        <w:numPr>
          <w:ilvl w:val="0"/>
          <w:numId w:val="6"/>
        </w:numPr>
        <w:rPr>
          <w:rFonts w:ascii="Arial" w:hAnsi="Arial" w:cs="Arial"/>
          <w:sz w:val="24"/>
          <w:szCs w:val="28"/>
        </w:rPr>
      </w:pPr>
      <w:r w:rsidRPr="00AE534A">
        <w:rPr>
          <w:rFonts w:cs="Arial"/>
          <w:szCs w:val="24"/>
        </w:rPr>
        <w:t xml:space="preserve"> </w:t>
      </w:r>
      <w:r w:rsidRPr="00AE534A">
        <w:rPr>
          <w:rFonts w:ascii="Arial" w:hAnsi="Arial" w:cs="Arial"/>
          <w:sz w:val="24"/>
          <w:szCs w:val="28"/>
        </w:rPr>
        <w:t>¿Cuál de estos valores corresponden al volumen inicial de la bureta?</w:t>
      </w:r>
    </w:p>
    <w:p w14:paraId="0DD7F132" w14:textId="74D4BD40" w:rsidR="0068714E" w:rsidRPr="0068714E" w:rsidRDefault="0068714E" w:rsidP="0068714E">
      <w:pPr>
        <w:pStyle w:val="Descripcin"/>
        <w:keepNext/>
        <w:spacing w:after="120"/>
        <w:jc w:val="center"/>
        <w:rPr>
          <w:rFonts w:ascii="Arial Narrow" w:hAnsi="Arial Narrow"/>
          <w:i w:val="0"/>
          <w:iCs w:val="0"/>
          <w:color w:val="0D0D0D" w:themeColor="text1" w:themeTint="F2"/>
          <w:sz w:val="20"/>
          <w:szCs w:val="20"/>
        </w:rPr>
      </w:pPr>
      <w:r w:rsidRPr="004064D4">
        <w:rPr>
          <w:rFonts w:ascii="Arial Narrow" w:hAnsi="Arial Narrow"/>
          <w:b/>
          <w:bCs/>
          <w:i w:val="0"/>
          <w:iCs w:val="0"/>
          <w:color w:val="0D0D0D" w:themeColor="text1" w:themeTint="F2"/>
          <w:sz w:val="20"/>
          <w:szCs w:val="20"/>
        </w:rPr>
        <w:t xml:space="preserve">Tabla </w:t>
      </w:r>
      <w:r w:rsidRPr="004064D4">
        <w:rPr>
          <w:rFonts w:ascii="Arial Narrow" w:hAnsi="Arial Narrow"/>
          <w:b/>
          <w:bCs/>
          <w:i w:val="0"/>
          <w:iCs w:val="0"/>
          <w:color w:val="0D0D0D" w:themeColor="text1" w:themeTint="F2"/>
          <w:sz w:val="20"/>
          <w:szCs w:val="20"/>
        </w:rPr>
        <w:fldChar w:fldCharType="begin"/>
      </w:r>
      <w:r w:rsidRPr="004064D4">
        <w:rPr>
          <w:rFonts w:ascii="Arial Narrow" w:hAnsi="Arial Narrow"/>
          <w:b/>
          <w:bCs/>
          <w:i w:val="0"/>
          <w:iCs w:val="0"/>
          <w:color w:val="0D0D0D" w:themeColor="text1" w:themeTint="F2"/>
          <w:sz w:val="20"/>
          <w:szCs w:val="20"/>
        </w:rPr>
        <w:instrText xml:space="preserve"> SEQ Tabla \* ARABIC </w:instrText>
      </w:r>
      <w:r w:rsidRPr="004064D4">
        <w:rPr>
          <w:rFonts w:ascii="Arial Narrow" w:hAnsi="Arial Narrow"/>
          <w:b/>
          <w:bCs/>
          <w:i w:val="0"/>
          <w:iCs w:val="0"/>
          <w:color w:val="0D0D0D" w:themeColor="text1" w:themeTint="F2"/>
          <w:sz w:val="20"/>
          <w:szCs w:val="20"/>
        </w:rPr>
        <w:fldChar w:fldCharType="separate"/>
      </w:r>
      <w:r w:rsidRPr="004064D4">
        <w:rPr>
          <w:rFonts w:ascii="Arial Narrow" w:hAnsi="Arial Narrow"/>
          <w:b/>
          <w:bCs/>
          <w:i w:val="0"/>
          <w:iCs w:val="0"/>
          <w:color w:val="0D0D0D" w:themeColor="text1" w:themeTint="F2"/>
          <w:sz w:val="20"/>
          <w:szCs w:val="20"/>
        </w:rPr>
        <w:t>1</w:t>
      </w:r>
      <w:r w:rsidRPr="004064D4">
        <w:rPr>
          <w:rFonts w:ascii="Arial Narrow" w:hAnsi="Arial Narrow"/>
          <w:b/>
          <w:bCs/>
          <w:i w:val="0"/>
          <w:iCs w:val="0"/>
          <w:color w:val="0D0D0D" w:themeColor="text1" w:themeTint="F2"/>
          <w:sz w:val="20"/>
          <w:szCs w:val="20"/>
        </w:rPr>
        <w:fldChar w:fldCharType="end"/>
      </w:r>
      <w:r w:rsidR="004064D4">
        <w:rPr>
          <w:rFonts w:ascii="Arial Narrow" w:hAnsi="Arial Narrow"/>
          <w:i w:val="0"/>
          <w:iCs w:val="0"/>
          <w:color w:val="0D0D0D" w:themeColor="text1" w:themeTint="F2"/>
          <w:sz w:val="20"/>
          <w:szCs w:val="20"/>
        </w:rPr>
        <w:t xml:space="preserve">. </w:t>
      </w:r>
      <w:r w:rsidRPr="0068714E">
        <w:rPr>
          <w:rFonts w:ascii="Arial Narrow" w:hAnsi="Arial Narrow"/>
          <w:i w:val="0"/>
          <w:iCs w:val="0"/>
          <w:color w:val="0D0D0D" w:themeColor="text1" w:themeTint="F2"/>
          <w:sz w:val="20"/>
          <w:szCs w:val="20"/>
        </w:rPr>
        <w:t>Frecuencia y porcentaje de</w:t>
      </w:r>
      <w:r w:rsidR="00703487">
        <w:rPr>
          <w:rFonts w:ascii="Arial Narrow" w:hAnsi="Arial Narrow"/>
          <w:i w:val="0"/>
          <w:iCs w:val="0"/>
          <w:color w:val="0D0D0D" w:themeColor="text1" w:themeTint="F2"/>
          <w:sz w:val="20"/>
          <w:szCs w:val="20"/>
        </w:rPr>
        <w:t xml:space="preserve"> respuestas</w:t>
      </w:r>
      <w:r w:rsidRPr="0068714E">
        <w:rPr>
          <w:rFonts w:ascii="Arial Narrow" w:hAnsi="Arial Narrow"/>
          <w:i w:val="0"/>
          <w:iCs w:val="0"/>
          <w:color w:val="0D0D0D" w:themeColor="text1" w:themeTint="F2"/>
          <w:sz w:val="20"/>
          <w:szCs w:val="20"/>
        </w:rPr>
        <w:t xml:space="preserve"> en la pregunta 1 de la evaluación.</w:t>
      </w:r>
    </w:p>
    <w:tbl>
      <w:tblPr>
        <w:tblW w:w="6238" w:type="dxa"/>
        <w:jc w:val="center"/>
        <w:tblCellMar>
          <w:left w:w="70" w:type="dxa"/>
          <w:right w:w="70" w:type="dxa"/>
        </w:tblCellMar>
        <w:tblLook w:val="04A0" w:firstRow="1" w:lastRow="0" w:firstColumn="1" w:lastColumn="0" w:noHBand="0" w:noVBand="1"/>
      </w:tblPr>
      <w:tblGrid>
        <w:gridCol w:w="1004"/>
        <w:gridCol w:w="1215"/>
        <w:gridCol w:w="15"/>
        <w:gridCol w:w="1341"/>
        <w:gridCol w:w="1230"/>
        <w:gridCol w:w="1433"/>
      </w:tblGrid>
      <w:tr w:rsidR="007D2589" w14:paraId="5EFFF6A9" w14:textId="77777777" w:rsidTr="007F00EC">
        <w:trPr>
          <w:trHeight w:val="227"/>
          <w:jc w:val="center"/>
        </w:trPr>
        <w:tc>
          <w:tcPr>
            <w:tcW w:w="1004" w:type="dxa"/>
            <w:vMerge w:val="restart"/>
            <w:tcBorders>
              <w:top w:val="single" w:sz="4" w:space="0" w:color="auto"/>
            </w:tcBorders>
            <w:shd w:val="clear" w:color="auto" w:fill="auto"/>
            <w:noWrap/>
            <w:vAlign w:val="center"/>
            <w:hideMark/>
          </w:tcPr>
          <w:p w14:paraId="4D99E091" w14:textId="77777777" w:rsidR="007D2589" w:rsidRPr="00FE69AA" w:rsidRDefault="007D2589" w:rsidP="007F00EC">
            <w:pPr>
              <w:spacing w:after="0" w:line="240" w:lineRule="auto"/>
              <w:jc w:val="center"/>
              <w:rPr>
                <w:rFonts w:ascii="Arial Narrow" w:eastAsia="Times New Roman" w:hAnsi="Arial Narrow" w:cs="Times New Roman"/>
                <w:b/>
                <w:bCs/>
                <w:color w:val="000000"/>
                <w:sz w:val="20"/>
                <w:szCs w:val="18"/>
                <w:lang w:val="es-ES" w:eastAsia="es-ES"/>
              </w:rPr>
            </w:pPr>
            <w:r w:rsidRPr="00FE69AA">
              <w:rPr>
                <w:rFonts w:ascii="Arial Narrow" w:eastAsia="Times New Roman" w:hAnsi="Arial Narrow" w:cs="Times New Roman"/>
                <w:b/>
                <w:bCs/>
                <w:color w:val="000000"/>
                <w:sz w:val="20"/>
                <w:szCs w:val="18"/>
              </w:rPr>
              <w:t>Variables</w:t>
            </w:r>
          </w:p>
        </w:tc>
        <w:tc>
          <w:tcPr>
            <w:tcW w:w="2571" w:type="dxa"/>
            <w:gridSpan w:val="3"/>
            <w:tcBorders>
              <w:top w:val="single" w:sz="4" w:space="0" w:color="auto"/>
              <w:bottom w:val="single" w:sz="4" w:space="0" w:color="auto"/>
            </w:tcBorders>
            <w:shd w:val="clear" w:color="auto" w:fill="auto"/>
            <w:noWrap/>
            <w:vAlign w:val="center"/>
            <w:hideMark/>
          </w:tcPr>
          <w:p w14:paraId="2348FF62" w14:textId="77777777" w:rsidR="007D2589" w:rsidRPr="00FE69AA" w:rsidRDefault="007D2589" w:rsidP="007F00EC">
            <w:pPr>
              <w:spacing w:after="0" w:line="240" w:lineRule="auto"/>
              <w:jc w:val="center"/>
              <w:rPr>
                <w:rFonts w:ascii="Arial Narrow" w:eastAsia="Times New Roman" w:hAnsi="Arial Narrow" w:cs="Times New Roman"/>
                <w:b/>
                <w:bCs/>
                <w:color w:val="000000"/>
                <w:sz w:val="20"/>
                <w:szCs w:val="18"/>
              </w:rPr>
            </w:pPr>
            <w:r w:rsidRPr="00FE69AA">
              <w:rPr>
                <w:rFonts w:ascii="Arial Narrow" w:eastAsia="Times New Roman" w:hAnsi="Arial Narrow" w:cs="Times New Roman"/>
                <w:b/>
                <w:bCs/>
                <w:color w:val="000000"/>
                <w:sz w:val="20"/>
                <w:szCs w:val="18"/>
              </w:rPr>
              <w:t>Frecuencia</w:t>
            </w:r>
          </w:p>
        </w:tc>
        <w:tc>
          <w:tcPr>
            <w:tcW w:w="2663" w:type="dxa"/>
            <w:gridSpan w:val="2"/>
            <w:tcBorders>
              <w:top w:val="single" w:sz="4" w:space="0" w:color="auto"/>
              <w:bottom w:val="single" w:sz="4" w:space="0" w:color="auto"/>
            </w:tcBorders>
            <w:shd w:val="clear" w:color="auto" w:fill="auto"/>
            <w:noWrap/>
            <w:vAlign w:val="center"/>
            <w:hideMark/>
          </w:tcPr>
          <w:p w14:paraId="427A0ADF" w14:textId="77777777" w:rsidR="007D2589" w:rsidRPr="00FE69AA" w:rsidRDefault="007D2589" w:rsidP="007F00EC">
            <w:pPr>
              <w:spacing w:after="0" w:line="240" w:lineRule="auto"/>
              <w:jc w:val="center"/>
              <w:rPr>
                <w:rFonts w:ascii="Arial Narrow" w:eastAsia="Times New Roman" w:hAnsi="Arial Narrow" w:cs="Times New Roman"/>
                <w:b/>
                <w:bCs/>
                <w:color w:val="000000"/>
                <w:sz w:val="20"/>
                <w:szCs w:val="18"/>
              </w:rPr>
            </w:pPr>
            <w:r w:rsidRPr="00FE69AA">
              <w:rPr>
                <w:rFonts w:ascii="Arial Narrow" w:eastAsia="Times New Roman" w:hAnsi="Arial Narrow" w:cs="Times New Roman"/>
                <w:b/>
                <w:bCs/>
                <w:color w:val="000000"/>
                <w:sz w:val="20"/>
                <w:szCs w:val="18"/>
              </w:rPr>
              <w:t>Porcentaje</w:t>
            </w:r>
          </w:p>
        </w:tc>
      </w:tr>
      <w:tr w:rsidR="007D2589" w14:paraId="77BE141F" w14:textId="77777777" w:rsidTr="007F00EC">
        <w:trPr>
          <w:trHeight w:val="227"/>
          <w:jc w:val="center"/>
        </w:trPr>
        <w:tc>
          <w:tcPr>
            <w:tcW w:w="1004" w:type="dxa"/>
            <w:vMerge/>
            <w:tcBorders>
              <w:bottom w:val="single" w:sz="4" w:space="0" w:color="auto"/>
            </w:tcBorders>
            <w:shd w:val="clear" w:color="auto" w:fill="auto"/>
            <w:noWrap/>
            <w:vAlign w:val="center"/>
          </w:tcPr>
          <w:p w14:paraId="1CA68F95" w14:textId="77777777" w:rsidR="007D2589" w:rsidRPr="00FE69AA" w:rsidRDefault="007D2589" w:rsidP="007F00EC">
            <w:pPr>
              <w:spacing w:after="0" w:line="240" w:lineRule="auto"/>
              <w:jc w:val="center"/>
              <w:rPr>
                <w:rFonts w:ascii="Arial Narrow" w:eastAsia="Times New Roman" w:hAnsi="Arial Narrow" w:cs="Times New Roman"/>
                <w:b/>
                <w:bCs/>
                <w:color w:val="000000"/>
                <w:sz w:val="20"/>
                <w:szCs w:val="18"/>
              </w:rPr>
            </w:pPr>
          </w:p>
        </w:tc>
        <w:tc>
          <w:tcPr>
            <w:tcW w:w="1215" w:type="dxa"/>
            <w:tcBorders>
              <w:top w:val="single" w:sz="4" w:space="0" w:color="auto"/>
              <w:bottom w:val="single" w:sz="4" w:space="0" w:color="auto"/>
            </w:tcBorders>
            <w:shd w:val="clear" w:color="auto" w:fill="auto"/>
            <w:noWrap/>
            <w:vAlign w:val="center"/>
          </w:tcPr>
          <w:p w14:paraId="3CDF06F8" w14:textId="77777777" w:rsidR="007D2589" w:rsidRPr="00FE69AA" w:rsidRDefault="007D2589"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M. Ambiente</w:t>
            </w:r>
          </w:p>
        </w:tc>
        <w:tc>
          <w:tcPr>
            <w:tcW w:w="1356" w:type="dxa"/>
            <w:gridSpan w:val="2"/>
            <w:tcBorders>
              <w:top w:val="single" w:sz="4" w:space="0" w:color="auto"/>
              <w:bottom w:val="single" w:sz="4" w:space="0" w:color="auto"/>
            </w:tcBorders>
            <w:shd w:val="clear" w:color="auto" w:fill="auto"/>
            <w:vAlign w:val="center"/>
          </w:tcPr>
          <w:p w14:paraId="531B28A4" w14:textId="77777777" w:rsidR="007D2589" w:rsidRPr="00FE69AA" w:rsidRDefault="007D2589"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Agroindustrias</w:t>
            </w:r>
          </w:p>
        </w:tc>
        <w:tc>
          <w:tcPr>
            <w:tcW w:w="1230" w:type="dxa"/>
            <w:tcBorders>
              <w:top w:val="single" w:sz="4" w:space="0" w:color="auto"/>
              <w:bottom w:val="single" w:sz="4" w:space="0" w:color="auto"/>
            </w:tcBorders>
            <w:shd w:val="clear" w:color="auto" w:fill="auto"/>
            <w:noWrap/>
            <w:vAlign w:val="center"/>
          </w:tcPr>
          <w:p w14:paraId="53F2FF88" w14:textId="77777777" w:rsidR="007D2589" w:rsidRPr="00FE69AA" w:rsidRDefault="007D2589"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M. Ambiente</w:t>
            </w:r>
          </w:p>
        </w:tc>
        <w:tc>
          <w:tcPr>
            <w:tcW w:w="1433" w:type="dxa"/>
            <w:tcBorders>
              <w:top w:val="single" w:sz="4" w:space="0" w:color="auto"/>
              <w:bottom w:val="single" w:sz="4" w:space="0" w:color="auto"/>
            </w:tcBorders>
            <w:shd w:val="clear" w:color="auto" w:fill="auto"/>
            <w:vAlign w:val="center"/>
          </w:tcPr>
          <w:p w14:paraId="2C41EA16" w14:textId="77777777" w:rsidR="007D2589" w:rsidRPr="00FE69AA" w:rsidRDefault="007D2589"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Agroindustrias</w:t>
            </w:r>
          </w:p>
        </w:tc>
      </w:tr>
      <w:tr w:rsidR="007D2589" w14:paraId="5FBA6ACB" w14:textId="77777777" w:rsidTr="007F00EC">
        <w:trPr>
          <w:trHeight w:val="227"/>
          <w:jc w:val="center"/>
        </w:trPr>
        <w:tc>
          <w:tcPr>
            <w:tcW w:w="1004" w:type="dxa"/>
            <w:tcBorders>
              <w:top w:val="single" w:sz="4" w:space="0" w:color="auto"/>
            </w:tcBorders>
            <w:shd w:val="clear" w:color="auto" w:fill="auto"/>
            <w:noWrap/>
            <w:vAlign w:val="bottom"/>
            <w:hideMark/>
          </w:tcPr>
          <w:p w14:paraId="5216EA10" w14:textId="1A5E7D3C" w:rsidR="007D2589" w:rsidRDefault="003372C2" w:rsidP="007D2589">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50</w:t>
            </w:r>
            <w:r w:rsidR="0002193F">
              <w:rPr>
                <w:rFonts w:ascii="Arial Narrow" w:eastAsia="Times New Roman" w:hAnsi="Arial Narrow" w:cs="Times New Roman"/>
                <w:color w:val="000000"/>
                <w:sz w:val="20"/>
                <w:szCs w:val="18"/>
              </w:rPr>
              <w:t xml:space="preserve"> ml</w:t>
            </w:r>
          </w:p>
        </w:tc>
        <w:tc>
          <w:tcPr>
            <w:tcW w:w="1230" w:type="dxa"/>
            <w:gridSpan w:val="2"/>
            <w:tcBorders>
              <w:top w:val="single" w:sz="4" w:space="0" w:color="auto"/>
            </w:tcBorders>
            <w:shd w:val="clear" w:color="auto" w:fill="auto"/>
            <w:noWrap/>
            <w:vAlign w:val="bottom"/>
            <w:hideMark/>
          </w:tcPr>
          <w:p w14:paraId="541E4AF1" w14:textId="0C2014D6" w:rsidR="007D2589" w:rsidRDefault="007D2589" w:rsidP="007D2589">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22</w:t>
            </w:r>
          </w:p>
        </w:tc>
        <w:tc>
          <w:tcPr>
            <w:tcW w:w="1341" w:type="dxa"/>
            <w:tcBorders>
              <w:top w:val="single" w:sz="4" w:space="0" w:color="auto"/>
            </w:tcBorders>
            <w:shd w:val="clear" w:color="auto" w:fill="auto"/>
            <w:noWrap/>
            <w:vAlign w:val="bottom"/>
            <w:hideMark/>
          </w:tcPr>
          <w:p w14:paraId="292DE54E" w14:textId="549A60D8" w:rsidR="007D2589" w:rsidRDefault="007D2589" w:rsidP="007D2589">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22</w:t>
            </w:r>
          </w:p>
        </w:tc>
        <w:tc>
          <w:tcPr>
            <w:tcW w:w="1230" w:type="dxa"/>
            <w:tcBorders>
              <w:top w:val="single" w:sz="4" w:space="0" w:color="auto"/>
            </w:tcBorders>
            <w:shd w:val="clear" w:color="auto" w:fill="auto"/>
            <w:noWrap/>
            <w:vAlign w:val="bottom"/>
            <w:hideMark/>
          </w:tcPr>
          <w:p w14:paraId="60C2AE6F" w14:textId="4536E95F" w:rsidR="007D2589" w:rsidRDefault="007D2589" w:rsidP="007D2589">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100.00</w:t>
            </w:r>
          </w:p>
        </w:tc>
        <w:tc>
          <w:tcPr>
            <w:tcW w:w="1433" w:type="dxa"/>
            <w:tcBorders>
              <w:top w:val="single" w:sz="4" w:space="0" w:color="auto"/>
            </w:tcBorders>
            <w:shd w:val="clear" w:color="auto" w:fill="auto"/>
            <w:noWrap/>
            <w:vAlign w:val="bottom"/>
            <w:hideMark/>
          </w:tcPr>
          <w:p w14:paraId="27AAD502" w14:textId="50F1EFA1" w:rsidR="007D2589" w:rsidRDefault="007D2589" w:rsidP="007D2589">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100.00</w:t>
            </w:r>
          </w:p>
        </w:tc>
      </w:tr>
      <w:tr w:rsidR="007D2589" w14:paraId="6E64DA17" w14:textId="77777777" w:rsidTr="007F00EC">
        <w:trPr>
          <w:trHeight w:val="227"/>
          <w:jc w:val="center"/>
        </w:trPr>
        <w:tc>
          <w:tcPr>
            <w:tcW w:w="1004" w:type="dxa"/>
            <w:shd w:val="clear" w:color="auto" w:fill="auto"/>
            <w:noWrap/>
            <w:vAlign w:val="bottom"/>
            <w:hideMark/>
          </w:tcPr>
          <w:p w14:paraId="0D9FC903" w14:textId="111B9BC5" w:rsidR="007D2589" w:rsidRDefault="003372C2" w:rsidP="007D2589">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25</w:t>
            </w:r>
            <w:r w:rsidR="0002193F">
              <w:rPr>
                <w:rFonts w:ascii="Arial Narrow" w:eastAsia="Times New Roman" w:hAnsi="Arial Narrow" w:cs="Times New Roman"/>
                <w:color w:val="000000"/>
                <w:sz w:val="20"/>
                <w:szCs w:val="18"/>
              </w:rPr>
              <w:t xml:space="preserve"> ml</w:t>
            </w:r>
          </w:p>
        </w:tc>
        <w:tc>
          <w:tcPr>
            <w:tcW w:w="1230" w:type="dxa"/>
            <w:gridSpan w:val="2"/>
            <w:shd w:val="clear" w:color="auto" w:fill="auto"/>
            <w:noWrap/>
            <w:vAlign w:val="bottom"/>
            <w:hideMark/>
          </w:tcPr>
          <w:p w14:paraId="45EF34B5" w14:textId="429857D7" w:rsidR="007D2589" w:rsidRDefault="007D2589" w:rsidP="007D2589">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0</w:t>
            </w:r>
          </w:p>
        </w:tc>
        <w:tc>
          <w:tcPr>
            <w:tcW w:w="1341" w:type="dxa"/>
            <w:shd w:val="clear" w:color="auto" w:fill="auto"/>
            <w:noWrap/>
            <w:vAlign w:val="bottom"/>
            <w:hideMark/>
          </w:tcPr>
          <w:p w14:paraId="04C5DB93" w14:textId="3ABCB467" w:rsidR="007D2589" w:rsidRDefault="007D2589" w:rsidP="007D2589">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0</w:t>
            </w:r>
          </w:p>
        </w:tc>
        <w:tc>
          <w:tcPr>
            <w:tcW w:w="1230" w:type="dxa"/>
            <w:shd w:val="clear" w:color="auto" w:fill="auto"/>
            <w:noWrap/>
            <w:vAlign w:val="bottom"/>
            <w:hideMark/>
          </w:tcPr>
          <w:p w14:paraId="35854562" w14:textId="4B58491F" w:rsidR="007D2589" w:rsidRDefault="007D2589" w:rsidP="007D2589">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0.00</w:t>
            </w:r>
          </w:p>
        </w:tc>
        <w:tc>
          <w:tcPr>
            <w:tcW w:w="1433" w:type="dxa"/>
            <w:shd w:val="clear" w:color="auto" w:fill="auto"/>
            <w:noWrap/>
            <w:vAlign w:val="bottom"/>
            <w:hideMark/>
          </w:tcPr>
          <w:p w14:paraId="54C3962B" w14:textId="727BD0A2" w:rsidR="007D2589" w:rsidRDefault="007D2589" w:rsidP="007D2589">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0.00</w:t>
            </w:r>
          </w:p>
        </w:tc>
      </w:tr>
      <w:tr w:rsidR="007D2589" w14:paraId="45A7370F" w14:textId="77777777" w:rsidTr="007F00EC">
        <w:trPr>
          <w:trHeight w:val="227"/>
          <w:jc w:val="center"/>
        </w:trPr>
        <w:tc>
          <w:tcPr>
            <w:tcW w:w="1004" w:type="dxa"/>
            <w:tcBorders>
              <w:bottom w:val="single" w:sz="4" w:space="0" w:color="auto"/>
            </w:tcBorders>
            <w:shd w:val="clear" w:color="auto" w:fill="auto"/>
            <w:noWrap/>
            <w:vAlign w:val="bottom"/>
            <w:hideMark/>
          </w:tcPr>
          <w:p w14:paraId="2E0FA8D5" w14:textId="77777777" w:rsidR="007D2589" w:rsidRPr="003D772D" w:rsidRDefault="007D2589" w:rsidP="007F00EC">
            <w:pPr>
              <w:spacing w:after="0" w:line="240" w:lineRule="auto"/>
              <w:jc w:val="center"/>
              <w:rPr>
                <w:rFonts w:ascii="Arial Narrow" w:eastAsia="Times New Roman" w:hAnsi="Arial Narrow" w:cs="Times New Roman"/>
                <w:b/>
                <w:bCs/>
                <w:color w:val="000000"/>
                <w:sz w:val="20"/>
                <w:szCs w:val="18"/>
              </w:rPr>
            </w:pPr>
            <w:r w:rsidRPr="003D772D">
              <w:rPr>
                <w:rFonts w:ascii="Arial Narrow" w:eastAsia="Times New Roman" w:hAnsi="Arial Narrow" w:cs="Times New Roman"/>
                <w:b/>
                <w:bCs/>
                <w:color w:val="000000"/>
                <w:sz w:val="20"/>
                <w:szCs w:val="18"/>
              </w:rPr>
              <w:t>Total</w:t>
            </w:r>
          </w:p>
        </w:tc>
        <w:tc>
          <w:tcPr>
            <w:tcW w:w="1230" w:type="dxa"/>
            <w:gridSpan w:val="2"/>
            <w:tcBorders>
              <w:bottom w:val="single" w:sz="4" w:space="0" w:color="auto"/>
            </w:tcBorders>
            <w:shd w:val="clear" w:color="auto" w:fill="auto"/>
            <w:noWrap/>
            <w:vAlign w:val="bottom"/>
            <w:hideMark/>
          </w:tcPr>
          <w:p w14:paraId="29CCAC40" w14:textId="77777777" w:rsidR="007D2589" w:rsidRDefault="007D2589"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22</w:t>
            </w:r>
          </w:p>
        </w:tc>
        <w:tc>
          <w:tcPr>
            <w:tcW w:w="1341" w:type="dxa"/>
            <w:tcBorders>
              <w:bottom w:val="single" w:sz="4" w:space="0" w:color="auto"/>
            </w:tcBorders>
            <w:shd w:val="clear" w:color="auto" w:fill="auto"/>
            <w:noWrap/>
            <w:vAlign w:val="bottom"/>
            <w:hideMark/>
          </w:tcPr>
          <w:p w14:paraId="2BF8E7EC" w14:textId="77777777" w:rsidR="007D2589" w:rsidRDefault="007D2589"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22</w:t>
            </w:r>
          </w:p>
        </w:tc>
        <w:tc>
          <w:tcPr>
            <w:tcW w:w="1230" w:type="dxa"/>
            <w:tcBorders>
              <w:bottom w:val="single" w:sz="4" w:space="0" w:color="auto"/>
            </w:tcBorders>
            <w:shd w:val="clear" w:color="auto" w:fill="auto"/>
            <w:noWrap/>
            <w:vAlign w:val="bottom"/>
            <w:hideMark/>
          </w:tcPr>
          <w:p w14:paraId="06E605F4" w14:textId="77777777" w:rsidR="007D2589" w:rsidRDefault="007D2589"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100.00</w:t>
            </w:r>
          </w:p>
        </w:tc>
        <w:tc>
          <w:tcPr>
            <w:tcW w:w="1433" w:type="dxa"/>
            <w:tcBorders>
              <w:bottom w:val="single" w:sz="4" w:space="0" w:color="auto"/>
            </w:tcBorders>
            <w:shd w:val="clear" w:color="auto" w:fill="auto"/>
            <w:noWrap/>
            <w:vAlign w:val="bottom"/>
            <w:hideMark/>
          </w:tcPr>
          <w:p w14:paraId="417F247A" w14:textId="77777777" w:rsidR="007D2589" w:rsidRDefault="007D2589"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100.00</w:t>
            </w:r>
          </w:p>
        </w:tc>
      </w:tr>
    </w:tbl>
    <w:p w14:paraId="648A9459" w14:textId="571572C6" w:rsidR="00722D3D" w:rsidRDefault="00722D3D" w:rsidP="0068714E">
      <w:pPr>
        <w:keepNext/>
        <w:spacing w:after="0"/>
        <w:jc w:val="center"/>
      </w:pPr>
    </w:p>
    <w:p w14:paraId="06D99ED8" w14:textId="206D366A" w:rsidR="00722D3D" w:rsidRDefault="006B689B" w:rsidP="0068714E">
      <w:pPr>
        <w:keepNext/>
        <w:spacing w:after="0"/>
        <w:jc w:val="center"/>
      </w:pPr>
      <w:r>
        <w:rPr>
          <w:noProof/>
          <w:lang w:eastAsia="es-EC"/>
        </w:rPr>
        <w:drawing>
          <wp:anchor distT="0" distB="0" distL="114300" distR="114300" simplePos="0" relativeHeight="251661312" behindDoc="0" locked="0" layoutInCell="1" allowOverlap="1" wp14:anchorId="08E2988D" wp14:editId="4ACCC490">
            <wp:simplePos x="0" y="0"/>
            <wp:positionH relativeFrom="margin">
              <wp:align>center</wp:align>
            </wp:positionH>
            <wp:positionV relativeFrom="margin">
              <wp:posOffset>6819900</wp:posOffset>
            </wp:positionV>
            <wp:extent cx="2771775" cy="1800000"/>
            <wp:effectExtent l="0" t="0" r="9525" b="10160"/>
            <wp:wrapSquare wrapText="bothSides"/>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182EC9DD" w14:textId="77777777" w:rsidR="00722D3D" w:rsidRDefault="00722D3D" w:rsidP="0068714E">
      <w:pPr>
        <w:keepNext/>
        <w:spacing w:after="0"/>
        <w:jc w:val="center"/>
      </w:pPr>
    </w:p>
    <w:p w14:paraId="4845EDDF" w14:textId="70D4F543" w:rsidR="00722D3D" w:rsidRDefault="00722D3D" w:rsidP="0068714E">
      <w:pPr>
        <w:keepNext/>
        <w:spacing w:after="0"/>
        <w:jc w:val="center"/>
      </w:pPr>
    </w:p>
    <w:p w14:paraId="0A254F2F" w14:textId="77777777" w:rsidR="00722D3D" w:rsidRDefault="00722D3D" w:rsidP="0068714E">
      <w:pPr>
        <w:keepNext/>
        <w:spacing w:after="0"/>
        <w:jc w:val="center"/>
      </w:pPr>
    </w:p>
    <w:p w14:paraId="5187D242" w14:textId="20468BF6" w:rsidR="00722D3D" w:rsidRDefault="00722D3D" w:rsidP="0068714E">
      <w:pPr>
        <w:keepNext/>
        <w:spacing w:after="0"/>
        <w:jc w:val="center"/>
      </w:pPr>
    </w:p>
    <w:p w14:paraId="4D741024" w14:textId="4FFB6363" w:rsidR="00722D3D" w:rsidRDefault="00722D3D" w:rsidP="0068714E">
      <w:pPr>
        <w:keepNext/>
        <w:spacing w:after="0"/>
        <w:jc w:val="center"/>
      </w:pPr>
    </w:p>
    <w:p w14:paraId="3C38AD56" w14:textId="77777777" w:rsidR="00722D3D" w:rsidRDefault="00722D3D" w:rsidP="0068714E">
      <w:pPr>
        <w:keepNext/>
        <w:spacing w:after="0"/>
        <w:jc w:val="center"/>
      </w:pPr>
    </w:p>
    <w:p w14:paraId="32DA78C2" w14:textId="2B0D8C47" w:rsidR="007D2589" w:rsidRDefault="0068714E" w:rsidP="0068714E">
      <w:pPr>
        <w:pStyle w:val="Descripcin"/>
        <w:jc w:val="center"/>
        <w:rPr>
          <w:rFonts w:ascii="Arial Narrow" w:hAnsi="Arial Narrow"/>
          <w:i w:val="0"/>
          <w:iCs w:val="0"/>
          <w:color w:val="0D0D0D" w:themeColor="text1" w:themeTint="F2"/>
          <w:sz w:val="20"/>
          <w:szCs w:val="20"/>
        </w:rPr>
      </w:pPr>
      <w:r w:rsidRPr="003C69A5">
        <w:rPr>
          <w:rFonts w:ascii="Arial Narrow" w:hAnsi="Arial Narrow"/>
          <w:b/>
          <w:bCs/>
          <w:i w:val="0"/>
          <w:iCs w:val="0"/>
          <w:color w:val="0D0D0D" w:themeColor="text1" w:themeTint="F2"/>
          <w:sz w:val="20"/>
          <w:szCs w:val="20"/>
        </w:rPr>
        <w:t xml:space="preserve">Figura </w:t>
      </w:r>
      <w:r w:rsidRPr="003C69A5">
        <w:rPr>
          <w:rFonts w:ascii="Arial Narrow" w:hAnsi="Arial Narrow"/>
          <w:b/>
          <w:bCs/>
          <w:i w:val="0"/>
          <w:iCs w:val="0"/>
          <w:color w:val="0D0D0D" w:themeColor="text1" w:themeTint="F2"/>
          <w:sz w:val="20"/>
          <w:szCs w:val="20"/>
        </w:rPr>
        <w:fldChar w:fldCharType="begin"/>
      </w:r>
      <w:r w:rsidRPr="003C69A5">
        <w:rPr>
          <w:rFonts w:ascii="Arial Narrow" w:hAnsi="Arial Narrow"/>
          <w:b/>
          <w:bCs/>
          <w:i w:val="0"/>
          <w:iCs w:val="0"/>
          <w:color w:val="0D0D0D" w:themeColor="text1" w:themeTint="F2"/>
          <w:sz w:val="20"/>
          <w:szCs w:val="20"/>
        </w:rPr>
        <w:instrText xml:space="preserve"> SEQ Figura \* ARABIC </w:instrText>
      </w:r>
      <w:r w:rsidRPr="003C69A5">
        <w:rPr>
          <w:rFonts w:ascii="Arial Narrow" w:hAnsi="Arial Narrow"/>
          <w:b/>
          <w:bCs/>
          <w:i w:val="0"/>
          <w:iCs w:val="0"/>
          <w:color w:val="0D0D0D" w:themeColor="text1" w:themeTint="F2"/>
          <w:sz w:val="20"/>
          <w:szCs w:val="20"/>
        </w:rPr>
        <w:fldChar w:fldCharType="separate"/>
      </w:r>
      <w:r w:rsidR="006A6746">
        <w:rPr>
          <w:rFonts w:ascii="Arial Narrow" w:hAnsi="Arial Narrow"/>
          <w:b/>
          <w:bCs/>
          <w:i w:val="0"/>
          <w:iCs w:val="0"/>
          <w:noProof/>
          <w:color w:val="0D0D0D" w:themeColor="text1" w:themeTint="F2"/>
          <w:sz w:val="20"/>
          <w:szCs w:val="20"/>
        </w:rPr>
        <w:t>2</w:t>
      </w:r>
      <w:r w:rsidRPr="003C69A5">
        <w:rPr>
          <w:rFonts w:ascii="Arial Narrow" w:hAnsi="Arial Narrow"/>
          <w:b/>
          <w:bCs/>
          <w:i w:val="0"/>
          <w:iCs w:val="0"/>
          <w:color w:val="0D0D0D" w:themeColor="text1" w:themeTint="F2"/>
          <w:sz w:val="20"/>
          <w:szCs w:val="20"/>
        </w:rPr>
        <w:fldChar w:fldCharType="end"/>
      </w:r>
      <w:r w:rsidRPr="003C69A5">
        <w:rPr>
          <w:rFonts w:ascii="Arial Narrow" w:hAnsi="Arial Narrow"/>
          <w:b/>
          <w:bCs/>
          <w:i w:val="0"/>
          <w:iCs w:val="0"/>
          <w:color w:val="0D0D0D" w:themeColor="text1" w:themeTint="F2"/>
          <w:sz w:val="20"/>
          <w:szCs w:val="20"/>
        </w:rPr>
        <w:t>.</w:t>
      </w:r>
      <w:r w:rsidR="003C69A5" w:rsidRPr="003C69A5">
        <w:rPr>
          <w:rFonts w:ascii="Arial Narrow" w:hAnsi="Arial Narrow"/>
          <w:i w:val="0"/>
          <w:iCs w:val="0"/>
          <w:color w:val="0D0D0D" w:themeColor="text1" w:themeTint="F2"/>
          <w:sz w:val="20"/>
          <w:szCs w:val="20"/>
        </w:rPr>
        <w:t xml:space="preserve"> </w:t>
      </w:r>
      <w:r w:rsidR="003C69A5">
        <w:rPr>
          <w:rFonts w:ascii="Arial Narrow" w:hAnsi="Arial Narrow"/>
          <w:i w:val="0"/>
          <w:iCs w:val="0"/>
          <w:color w:val="0D0D0D" w:themeColor="text1" w:themeTint="F2"/>
          <w:sz w:val="20"/>
          <w:szCs w:val="20"/>
        </w:rPr>
        <w:t>P</w:t>
      </w:r>
      <w:r w:rsidR="003C69A5" w:rsidRPr="0068714E">
        <w:rPr>
          <w:rFonts w:ascii="Arial Narrow" w:hAnsi="Arial Narrow"/>
          <w:i w:val="0"/>
          <w:iCs w:val="0"/>
          <w:color w:val="0D0D0D" w:themeColor="text1" w:themeTint="F2"/>
          <w:sz w:val="20"/>
          <w:szCs w:val="20"/>
        </w:rPr>
        <w:t>orcentaje de aciertos en la pregunta 1 de</w:t>
      </w:r>
      <w:r w:rsidR="003C69A5">
        <w:rPr>
          <w:rFonts w:ascii="Arial Narrow" w:hAnsi="Arial Narrow"/>
          <w:i w:val="0"/>
          <w:iCs w:val="0"/>
          <w:color w:val="0D0D0D" w:themeColor="text1" w:themeTint="F2"/>
          <w:sz w:val="20"/>
          <w:szCs w:val="20"/>
        </w:rPr>
        <w:t>l instrumento de</w:t>
      </w:r>
      <w:r w:rsidR="003C69A5" w:rsidRPr="0068714E">
        <w:rPr>
          <w:rFonts w:ascii="Arial Narrow" w:hAnsi="Arial Narrow"/>
          <w:i w:val="0"/>
          <w:iCs w:val="0"/>
          <w:color w:val="0D0D0D" w:themeColor="text1" w:themeTint="F2"/>
          <w:sz w:val="20"/>
          <w:szCs w:val="20"/>
        </w:rPr>
        <w:t xml:space="preserve"> evaluación.</w:t>
      </w:r>
    </w:p>
    <w:p w14:paraId="6654A16A" w14:textId="32898860" w:rsidR="0068714E" w:rsidRDefault="004064D4" w:rsidP="0068714E">
      <w:r>
        <w:t xml:space="preserve">Como se muestra en la tabla 1 y figura 2, el 100% de los estudiantes de los 2 grupos en estudio acertó en la respuesta a la pregunta </w:t>
      </w:r>
      <w:r w:rsidR="00AF4139">
        <w:t>número</w:t>
      </w:r>
      <w:r>
        <w:t xml:space="preserve"> 1, indicando que el método tradicional aplicada al grupo de Medio Ambiente y el uso del software </w:t>
      </w:r>
      <w:proofErr w:type="spellStart"/>
      <w:r>
        <w:t>ChemLab</w:t>
      </w:r>
      <w:proofErr w:type="spellEnd"/>
      <w:r>
        <w:t xml:space="preserve"> utilizado en el grupo de Agroindustrias presentan resultados favorables en el entendimiento de esta pregunta. </w:t>
      </w:r>
    </w:p>
    <w:p w14:paraId="2FA4385B" w14:textId="7AAFFF89" w:rsidR="004064D4" w:rsidRPr="00D366D2" w:rsidRDefault="00D366D2" w:rsidP="00D366D2">
      <w:pPr>
        <w:pStyle w:val="Prrafodelista"/>
        <w:numPr>
          <w:ilvl w:val="0"/>
          <w:numId w:val="6"/>
        </w:numPr>
        <w:rPr>
          <w:rFonts w:ascii="Arial" w:hAnsi="Arial" w:cs="Arial"/>
          <w:sz w:val="24"/>
          <w:szCs w:val="24"/>
        </w:rPr>
      </w:pPr>
      <w:r w:rsidRPr="00D366D2">
        <w:rPr>
          <w:rFonts w:ascii="Arial" w:hAnsi="Arial" w:cs="Arial"/>
          <w:sz w:val="24"/>
          <w:szCs w:val="24"/>
        </w:rPr>
        <w:t>¿Cuál de los siguientes valores corresponde al valor final de la bureta?</w:t>
      </w:r>
    </w:p>
    <w:p w14:paraId="23E64C59" w14:textId="4318252B" w:rsidR="00D366D2" w:rsidRPr="0068714E" w:rsidRDefault="00D366D2" w:rsidP="00D366D2">
      <w:pPr>
        <w:pStyle w:val="Descripcin"/>
        <w:keepNext/>
        <w:spacing w:after="120"/>
        <w:ind w:left="360"/>
        <w:jc w:val="center"/>
        <w:rPr>
          <w:rFonts w:ascii="Arial Narrow" w:hAnsi="Arial Narrow"/>
          <w:i w:val="0"/>
          <w:iCs w:val="0"/>
          <w:color w:val="0D0D0D" w:themeColor="text1" w:themeTint="F2"/>
          <w:sz w:val="20"/>
          <w:szCs w:val="20"/>
        </w:rPr>
      </w:pPr>
      <w:r w:rsidRPr="004064D4">
        <w:rPr>
          <w:rFonts w:ascii="Arial Narrow" w:hAnsi="Arial Narrow"/>
          <w:b/>
          <w:bCs/>
          <w:i w:val="0"/>
          <w:iCs w:val="0"/>
          <w:color w:val="0D0D0D" w:themeColor="text1" w:themeTint="F2"/>
          <w:sz w:val="20"/>
          <w:szCs w:val="20"/>
        </w:rPr>
        <w:t xml:space="preserve">Tabla </w:t>
      </w:r>
      <w:r w:rsidRPr="004064D4">
        <w:rPr>
          <w:rFonts w:ascii="Arial Narrow" w:hAnsi="Arial Narrow"/>
          <w:b/>
          <w:bCs/>
          <w:i w:val="0"/>
          <w:iCs w:val="0"/>
          <w:color w:val="0D0D0D" w:themeColor="text1" w:themeTint="F2"/>
          <w:sz w:val="20"/>
          <w:szCs w:val="20"/>
        </w:rPr>
        <w:fldChar w:fldCharType="begin"/>
      </w:r>
      <w:r w:rsidRPr="004064D4">
        <w:rPr>
          <w:rFonts w:ascii="Arial Narrow" w:hAnsi="Arial Narrow"/>
          <w:b/>
          <w:bCs/>
          <w:i w:val="0"/>
          <w:iCs w:val="0"/>
          <w:color w:val="0D0D0D" w:themeColor="text1" w:themeTint="F2"/>
          <w:sz w:val="20"/>
          <w:szCs w:val="20"/>
        </w:rPr>
        <w:instrText xml:space="preserve"> SEQ Tabla \* ARABIC </w:instrText>
      </w:r>
      <w:r w:rsidRPr="004064D4">
        <w:rPr>
          <w:rFonts w:ascii="Arial Narrow" w:hAnsi="Arial Narrow"/>
          <w:b/>
          <w:bCs/>
          <w:i w:val="0"/>
          <w:iCs w:val="0"/>
          <w:color w:val="0D0D0D" w:themeColor="text1" w:themeTint="F2"/>
          <w:sz w:val="20"/>
          <w:szCs w:val="20"/>
        </w:rPr>
        <w:fldChar w:fldCharType="separate"/>
      </w:r>
      <w:r>
        <w:rPr>
          <w:rFonts w:ascii="Arial Narrow" w:hAnsi="Arial Narrow"/>
          <w:b/>
          <w:bCs/>
          <w:i w:val="0"/>
          <w:iCs w:val="0"/>
          <w:noProof/>
          <w:color w:val="0D0D0D" w:themeColor="text1" w:themeTint="F2"/>
          <w:sz w:val="20"/>
          <w:szCs w:val="20"/>
        </w:rPr>
        <w:t>2</w:t>
      </w:r>
      <w:r w:rsidRPr="004064D4">
        <w:rPr>
          <w:rFonts w:ascii="Arial Narrow" w:hAnsi="Arial Narrow"/>
          <w:b/>
          <w:bCs/>
          <w:i w:val="0"/>
          <w:iCs w:val="0"/>
          <w:color w:val="0D0D0D" w:themeColor="text1" w:themeTint="F2"/>
          <w:sz w:val="20"/>
          <w:szCs w:val="20"/>
        </w:rPr>
        <w:fldChar w:fldCharType="end"/>
      </w:r>
      <w:r>
        <w:rPr>
          <w:rFonts w:ascii="Arial Narrow" w:hAnsi="Arial Narrow"/>
          <w:i w:val="0"/>
          <w:iCs w:val="0"/>
          <w:color w:val="0D0D0D" w:themeColor="text1" w:themeTint="F2"/>
          <w:sz w:val="20"/>
          <w:szCs w:val="20"/>
        </w:rPr>
        <w:t xml:space="preserve">. </w:t>
      </w:r>
      <w:r w:rsidRPr="0068714E">
        <w:rPr>
          <w:rFonts w:ascii="Arial Narrow" w:hAnsi="Arial Narrow"/>
          <w:i w:val="0"/>
          <w:iCs w:val="0"/>
          <w:color w:val="0D0D0D" w:themeColor="text1" w:themeTint="F2"/>
          <w:sz w:val="20"/>
          <w:szCs w:val="20"/>
        </w:rPr>
        <w:t>Frecuencia y porcentaje de</w:t>
      </w:r>
      <w:r w:rsidR="00703487" w:rsidRPr="00703487">
        <w:rPr>
          <w:rFonts w:ascii="Arial Narrow" w:hAnsi="Arial Narrow"/>
          <w:i w:val="0"/>
          <w:iCs w:val="0"/>
          <w:color w:val="0D0D0D" w:themeColor="text1" w:themeTint="F2"/>
          <w:sz w:val="20"/>
          <w:szCs w:val="20"/>
        </w:rPr>
        <w:t xml:space="preserve"> </w:t>
      </w:r>
      <w:r w:rsidR="00703487">
        <w:rPr>
          <w:rFonts w:ascii="Arial Narrow" w:hAnsi="Arial Narrow"/>
          <w:i w:val="0"/>
          <w:iCs w:val="0"/>
          <w:color w:val="0D0D0D" w:themeColor="text1" w:themeTint="F2"/>
          <w:sz w:val="20"/>
          <w:szCs w:val="20"/>
        </w:rPr>
        <w:t>respuestas</w:t>
      </w:r>
      <w:r w:rsidR="00703487" w:rsidRPr="0068714E">
        <w:rPr>
          <w:rFonts w:ascii="Arial Narrow" w:hAnsi="Arial Narrow"/>
          <w:i w:val="0"/>
          <w:iCs w:val="0"/>
          <w:color w:val="0D0D0D" w:themeColor="text1" w:themeTint="F2"/>
          <w:sz w:val="20"/>
          <w:szCs w:val="20"/>
        </w:rPr>
        <w:t xml:space="preserve"> </w:t>
      </w:r>
      <w:r w:rsidRPr="0068714E">
        <w:rPr>
          <w:rFonts w:ascii="Arial Narrow" w:hAnsi="Arial Narrow"/>
          <w:i w:val="0"/>
          <w:iCs w:val="0"/>
          <w:color w:val="0D0D0D" w:themeColor="text1" w:themeTint="F2"/>
          <w:sz w:val="20"/>
          <w:szCs w:val="20"/>
        </w:rPr>
        <w:t xml:space="preserve">en la pregunta </w:t>
      </w:r>
      <w:r>
        <w:rPr>
          <w:rFonts w:ascii="Arial Narrow" w:hAnsi="Arial Narrow"/>
          <w:i w:val="0"/>
          <w:iCs w:val="0"/>
          <w:color w:val="0D0D0D" w:themeColor="text1" w:themeTint="F2"/>
          <w:sz w:val="20"/>
          <w:szCs w:val="20"/>
        </w:rPr>
        <w:t>2</w:t>
      </w:r>
      <w:r w:rsidRPr="0068714E">
        <w:rPr>
          <w:rFonts w:ascii="Arial Narrow" w:hAnsi="Arial Narrow"/>
          <w:i w:val="0"/>
          <w:iCs w:val="0"/>
          <w:color w:val="0D0D0D" w:themeColor="text1" w:themeTint="F2"/>
          <w:sz w:val="20"/>
          <w:szCs w:val="20"/>
        </w:rPr>
        <w:t xml:space="preserve"> de la evaluación.</w:t>
      </w:r>
    </w:p>
    <w:tbl>
      <w:tblPr>
        <w:tblW w:w="6238" w:type="dxa"/>
        <w:jc w:val="center"/>
        <w:tblCellMar>
          <w:left w:w="70" w:type="dxa"/>
          <w:right w:w="70" w:type="dxa"/>
        </w:tblCellMar>
        <w:tblLook w:val="04A0" w:firstRow="1" w:lastRow="0" w:firstColumn="1" w:lastColumn="0" w:noHBand="0" w:noVBand="1"/>
      </w:tblPr>
      <w:tblGrid>
        <w:gridCol w:w="1004"/>
        <w:gridCol w:w="1215"/>
        <w:gridCol w:w="15"/>
        <w:gridCol w:w="1341"/>
        <w:gridCol w:w="1230"/>
        <w:gridCol w:w="1433"/>
      </w:tblGrid>
      <w:tr w:rsidR="00D366D2" w14:paraId="52BBBDA8" w14:textId="77777777" w:rsidTr="007F00EC">
        <w:trPr>
          <w:trHeight w:val="227"/>
          <w:jc w:val="center"/>
        </w:trPr>
        <w:tc>
          <w:tcPr>
            <w:tcW w:w="1004" w:type="dxa"/>
            <w:vMerge w:val="restart"/>
            <w:tcBorders>
              <w:top w:val="single" w:sz="4" w:space="0" w:color="auto"/>
            </w:tcBorders>
            <w:shd w:val="clear" w:color="auto" w:fill="auto"/>
            <w:noWrap/>
            <w:vAlign w:val="center"/>
            <w:hideMark/>
          </w:tcPr>
          <w:p w14:paraId="550BB671" w14:textId="77777777" w:rsidR="00D366D2" w:rsidRPr="00FE69AA" w:rsidRDefault="00D366D2" w:rsidP="007F00EC">
            <w:pPr>
              <w:spacing w:after="0" w:line="240" w:lineRule="auto"/>
              <w:jc w:val="center"/>
              <w:rPr>
                <w:rFonts w:ascii="Arial Narrow" w:eastAsia="Times New Roman" w:hAnsi="Arial Narrow" w:cs="Times New Roman"/>
                <w:b/>
                <w:bCs/>
                <w:color w:val="000000"/>
                <w:sz w:val="20"/>
                <w:szCs w:val="18"/>
                <w:lang w:val="es-ES" w:eastAsia="es-ES"/>
              </w:rPr>
            </w:pPr>
            <w:r w:rsidRPr="00FE69AA">
              <w:rPr>
                <w:rFonts w:ascii="Arial Narrow" w:eastAsia="Times New Roman" w:hAnsi="Arial Narrow" w:cs="Times New Roman"/>
                <w:b/>
                <w:bCs/>
                <w:color w:val="000000"/>
                <w:sz w:val="20"/>
                <w:szCs w:val="18"/>
              </w:rPr>
              <w:t>Variables</w:t>
            </w:r>
          </w:p>
        </w:tc>
        <w:tc>
          <w:tcPr>
            <w:tcW w:w="2571" w:type="dxa"/>
            <w:gridSpan w:val="3"/>
            <w:tcBorders>
              <w:top w:val="single" w:sz="4" w:space="0" w:color="auto"/>
              <w:bottom w:val="single" w:sz="4" w:space="0" w:color="auto"/>
            </w:tcBorders>
            <w:shd w:val="clear" w:color="auto" w:fill="auto"/>
            <w:noWrap/>
            <w:vAlign w:val="center"/>
            <w:hideMark/>
          </w:tcPr>
          <w:p w14:paraId="3D62EB29" w14:textId="77777777" w:rsidR="00D366D2" w:rsidRPr="00FE69AA" w:rsidRDefault="00D366D2" w:rsidP="007F00EC">
            <w:pPr>
              <w:spacing w:after="0" w:line="240" w:lineRule="auto"/>
              <w:jc w:val="center"/>
              <w:rPr>
                <w:rFonts w:ascii="Arial Narrow" w:eastAsia="Times New Roman" w:hAnsi="Arial Narrow" w:cs="Times New Roman"/>
                <w:b/>
                <w:bCs/>
                <w:color w:val="000000"/>
                <w:sz w:val="20"/>
                <w:szCs w:val="18"/>
              </w:rPr>
            </w:pPr>
            <w:r w:rsidRPr="00FE69AA">
              <w:rPr>
                <w:rFonts w:ascii="Arial Narrow" w:eastAsia="Times New Roman" w:hAnsi="Arial Narrow" w:cs="Times New Roman"/>
                <w:b/>
                <w:bCs/>
                <w:color w:val="000000"/>
                <w:sz w:val="20"/>
                <w:szCs w:val="18"/>
              </w:rPr>
              <w:t>Frecuencia</w:t>
            </w:r>
          </w:p>
        </w:tc>
        <w:tc>
          <w:tcPr>
            <w:tcW w:w="2663" w:type="dxa"/>
            <w:gridSpan w:val="2"/>
            <w:tcBorders>
              <w:top w:val="single" w:sz="4" w:space="0" w:color="auto"/>
              <w:bottom w:val="single" w:sz="4" w:space="0" w:color="auto"/>
            </w:tcBorders>
            <w:shd w:val="clear" w:color="auto" w:fill="auto"/>
            <w:noWrap/>
            <w:vAlign w:val="center"/>
            <w:hideMark/>
          </w:tcPr>
          <w:p w14:paraId="16E46322" w14:textId="77777777" w:rsidR="00D366D2" w:rsidRPr="00FE69AA" w:rsidRDefault="00D366D2" w:rsidP="007F00EC">
            <w:pPr>
              <w:spacing w:after="0" w:line="240" w:lineRule="auto"/>
              <w:jc w:val="center"/>
              <w:rPr>
                <w:rFonts w:ascii="Arial Narrow" w:eastAsia="Times New Roman" w:hAnsi="Arial Narrow" w:cs="Times New Roman"/>
                <w:b/>
                <w:bCs/>
                <w:color w:val="000000"/>
                <w:sz w:val="20"/>
                <w:szCs w:val="18"/>
              </w:rPr>
            </w:pPr>
            <w:r w:rsidRPr="00FE69AA">
              <w:rPr>
                <w:rFonts w:ascii="Arial Narrow" w:eastAsia="Times New Roman" w:hAnsi="Arial Narrow" w:cs="Times New Roman"/>
                <w:b/>
                <w:bCs/>
                <w:color w:val="000000"/>
                <w:sz w:val="20"/>
                <w:szCs w:val="18"/>
              </w:rPr>
              <w:t>Porcentaje</w:t>
            </w:r>
          </w:p>
        </w:tc>
      </w:tr>
      <w:tr w:rsidR="00D366D2" w14:paraId="4A01844A" w14:textId="77777777" w:rsidTr="007F00EC">
        <w:trPr>
          <w:trHeight w:val="227"/>
          <w:jc w:val="center"/>
        </w:trPr>
        <w:tc>
          <w:tcPr>
            <w:tcW w:w="1004" w:type="dxa"/>
            <w:vMerge/>
            <w:tcBorders>
              <w:bottom w:val="single" w:sz="4" w:space="0" w:color="auto"/>
            </w:tcBorders>
            <w:shd w:val="clear" w:color="auto" w:fill="auto"/>
            <w:noWrap/>
            <w:vAlign w:val="center"/>
          </w:tcPr>
          <w:p w14:paraId="0767B99D" w14:textId="77777777" w:rsidR="00D366D2" w:rsidRPr="00FE69AA" w:rsidRDefault="00D366D2" w:rsidP="007F00EC">
            <w:pPr>
              <w:spacing w:after="0" w:line="240" w:lineRule="auto"/>
              <w:jc w:val="center"/>
              <w:rPr>
                <w:rFonts w:ascii="Arial Narrow" w:eastAsia="Times New Roman" w:hAnsi="Arial Narrow" w:cs="Times New Roman"/>
                <w:b/>
                <w:bCs/>
                <w:color w:val="000000"/>
                <w:sz w:val="20"/>
                <w:szCs w:val="18"/>
              </w:rPr>
            </w:pPr>
          </w:p>
        </w:tc>
        <w:tc>
          <w:tcPr>
            <w:tcW w:w="1215" w:type="dxa"/>
            <w:tcBorders>
              <w:top w:val="single" w:sz="4" w:space="0" w:color="auto"/>
              <w:bottom w:val="single" w:sz="4" w:space="0" w:color="auto"/>
            </w:tcBorders>
            <w:shd w:val="clear" w:color="auto" w:fill="auto"/>
            <w:noWrap/>
            <w:vAlign w:val="center"/>
          </w:tcPr>
          <w:p w14:paraId="31487EDF" w14:textId="77777777" w:rsidR="00D366D2" w:rsidRPr="00FE69AA" w:rsidRDefault="00D366D2"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M. Ambiente</w:t>
            </w:r>
          </w:p>
        </w:tc>
        <w:tc>
          <w:tcPr>
            <w:tcW w:w="1356" w:type="dxa"/>
            <w:gridSpan w:val="2"/>
            <w:tcBorders>
              <w:top w:val="single" w:sz="4" w:space="0" w:color="auto"/>
              <w:bottom w:val="single" w:sz="4" w:space="0" w:color="auto"/>
            </w:tcBorders>
            <w:shd w:val="clear" w:color="auto" w:fill="auto"/>
            <w:vAlign w:val="center"/>
          </w:tcPr>
          <w:p w14:paraId="45380BC0" w14:textId="77777777" w:rsidR="00D366D2" w:rsidRPr="00FE69AA" w:rsidRDefault="00D366D2"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Agroindustrias</w:t>
            </w:r>
          </w:p>
        </w:tc>
        <w:tc>
          <w:tcPr>
            <w:tcW w:w="1230" w:type="dxa"/>
            <w:tcBorders>
              <w:top w:val="single" w:sz="4" w:space="0" w:color="auto"/>
              <w:bottom w:val="single" w:sz="4" w:space="0" w:color="auto"/>
            </w:tcBorders>
            <w:shd w:val="clear" w:color="auto" w:fill="auto"/>
            <w:noWrap/>
            <w:vAlign w:val="center"/>
          </w:tcPr>
          <w:p w14:paraId="12279D52" w14:textId="77777777" w:rsidR="00D366D2" w:rsidRPr="00FE69AA" w:rsidRDefault="00D366D2"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M. Ambiente</w:t>
            </w:r>
          </w:p>
        </w:tc>
        <w:tc>
          <w:tcPr>
            <w:tcW w:w="1433" w:type="dxa"/>
            <w:tcBorders>
              <w:top w:val="single" w:sz="4" w:space="0" w:color="auto"/>
              <w:bottom w:val="single" w:sz="4" w:space="0" w:color="auto"/>
            </w:tcBorders>
            <w:shd w:val="clear" w:color="auto" w:fill="auto"/>
            <w:vAlign w:val="center"/>
          </w:tcPr>
          <w:p w14:paraId="14CAFABB" w14:textId="77777777" w:rsidR="00D366D2" w:rsidRPr="00FE69AA" w:rsidRDefault="00D366D2"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Agroindustrias</w:t>
            </w:r>
          </w:p>
        </w:tc>
      </w:tr>
      <w:tr w:rsidR="00D366D2" w14:paraId="1418A6D4" w14:textId="77777777" w:rsidTr="007F00EC">
        <w:trPr>
          <w:trHeight w:val="227"/>
          <w:jc w:val="center"/>
        </w:trPr>
        <w:tc>
          <w:tcPr>
            <w:tcW w:w="1004" w:type="dxa"/>
            <w:tcBorders>
              <w:top w:val="single" w:sz="4" w:space="0" w:color="auto"/>
            </w:tcBorders>
            <w:shd w:val="clear" w:color="auto" w:fill="auto"/>
            <w:noWrap/>
            <w:vAlign w:val="bottom"/>
            <w:hideMark/>
          </w:tcPr>
          <w:p w14:paraId="373CF91A" w14:textId="3C9DAF7E" w:rsidR="00D366D2" w:rsidRDefault="00D366D2"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14 ml</w:t>
            </w:r>
          </w:p>
        </w:tc>
        <w:tc>
          <w:tcPr>
            <w:tcW w:w="1230" w:type="dxa"/>
            <w:gridSpan w:val="2"/>
            <w:tcBorders>
              <w:top w:val="single" w:sz="4" w:space="0" w:color="auto"/>
            </w:tcBorders>
            <w:shd w:val="clear" w:color="auto" w:fill="auto"/>
            <w:noWrap/>
            <w:vAlign w:val="bottom"/>
            <w:hideMark/>
          </w:tcPr>
          <w:p w14:paraId="392D3BB4" w14:textId="53F18DD5" w:rsidR="00D366D2" w:rsidRDefault="00D366D2"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0</w:t>
            </w:r>
          </w:p>
        </w:tc>
        <w:tc>
          <w:tcPr>
            <w:tcW w:w="1341" w:type="dxa"/>
            <w:tcBorders>
              <w:top w:val="single" w:sz="4" w:space="0" w:color="auto"/>
            </w:tcBorders>
            <w:shd w:val="clear" w:color="auto" w:fill="auto"/>
            <w:noWrap/>
            <w:vAlign w:val="bottom"/>
            <w:hideMark/>
          </w:tcPr>
          <w:p w14:paraId="17583964" w14:textId="09F6254E" w:rsidR="00D366D2" w:rsidRDefault="00D366D2"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0</w:t>
            </w:r>
          </w:p>
        </w:tc>
        <w:tc>
          <w:tcPr>
            <w:tcW w:w="1230" w:type="dxa"/>
            <w:tcBorders>
              <w:top w:val="single" w:sz="4" w:space="0" w:color="auto"/>
            </w:tcBorders>
            <w:shd w:val="clear" w:color="auto" w:fill="auto"/>
            <w:noWrap/>
            <w:vAlign w:val="bottom"/>
            <w:hideMark/>
          </w:tcPr>
          <w:p w14:paraId="2E9E725E" w14:textId="097030A0" w:rsidR="00D366D2" w:rsidRDefault="00D366D2"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0.00</w:t>
            </w:r>
          </w:p>
        </w:tc>
        <w:tc>
          <w:tcPr>
            <w:tcW w:w="1433" w:type="dxa"/>
            <w:tcBorders>
              <w:top w:val="single" w:sz="4" w:space="0" w:color="auto"/>
            </w:tcBorders>
            <w:shd w:val="clear" w:color="auto" w:fill="auto"/>
            <w:noWrap/>
            <w:vAlign w:val="bottom"/>
            <w:hideMark/>
          </w:tcPr>
          <w:p w14:paraId="0F964D1A" w14:textId="4DC28E3E" w:rsidR="00D366D2" w:rsidRDefault="00D366D2"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0.00</w:t>
            </w:r>
          </w:p>
        </w:tc>
      </w:tr>
      <w:tr w:rsidR="00D366D2" w14:paraId="1C027377" w14:textId="77777777" w:rsidTr="007F00EC">
        <w:trPr>
          <w:trHeight w:val="227"/>
          <w:jc w:val="center"/>
        </w:trPr>
        <w:tc>
          <w:tcPr>
            <w:tcW w:w="1004" w:type="dxa"/>
            <w:shd w:val="clear" w:color="auto" w:fill="auto"/>
            <w:noWrap/>
            <w:vAlign w:val="bottom"/>
            <w:hideMark/>
          </w:tcPr>
          <w:p w14:paraId="10C4D854" w14:textId="58B20BD1" w:rsidR="00D366D2" w:rsidRDefault="00D366D2"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14.9 ml</w:t>
            </w:r>
          </w:p>
        </w:tc>
        <w:tc>
          <w:tcPr>
            <w:tcW w:w="1230" w:type="dxa"/>
            <w:gridSpan w:val="2"/>
            <w:shd w:val="clear" w:color="auto" w:fill="auto"/>
            <w:noWrap/>
            <w:vAlign w:val="bottom"/>
            <w:hideMark/>
          </w:tcPr>
          <w:p w14:paraId="6AABC2AA" w14:textId="28E8E42E" w:rsidR="00D366D2" w:rsidRDefault="00D366D2"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22</w:t>
            </w:r>
          </w:p>
        </w:tc>
        <w:tc>
          <w:tcPr>
            <w:tcW w:w="1341" w:type="dxa"/>
            <w:shd w:val="clear" w:color="auto" w:fill="auto"/>
            <w:noWrap/>
            <w:vAlign w:val="bottom"/>
            <w:hideMark/>
          </w:tcPr>
          <w:p w14:paraId="5A57DDC8" w14:textId="2D71FFD4" w:rsidR="00D366D2" w:rsidRDefault="00D366D2"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22</w:t>
            </w:r>
          </w:p>
        </w:tc>
        <w:tc>
          <w:tcPr>
            <w:tcW w:w="1230" w:type="dxa"/>
            <w:shd w:val="clear" w:color="auto" w:fill="auto"/>
            <w:noWrap/>
            <w:vAlign w:val="bottom"/>
            <w:hideMark/>
          </w:tcPr>
          <w:p w14:paraId="77E41C51" w14:textId="75B8CDF8" w:rsidR="00D366D2" w:rsidRDefault="00D366D2"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100.00</w:t>
            </w:r>
          </w:p>
        </w:tc>
        <w:tc>
          <w:tcPr>
            <w:tcW w:w="1433" w:type="dxa"/>
            <w:shd w:val="clear" w:color="auto" w:fill="auto"/>
            <w:noWrap/>
            <w:vAlign w:val="bottom"/>
            <w:hideMark/>
          </w:tcPr>
          <w:p w14:paraId="051F4764" w14:textId="5B7B6D76" w:rsidR="00D366D2" w:rsidRDefault="00D366D2"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100.00</w:t>
            </w:r>
          </w:p>
        </w:tc>
      </w:tr>
      <w:tr w:rsidR="00D366D2" w14:paraId="42EFB719" w14:textId="77777777" w:rsidTr="007F00EC">
        <w:trPr>
          <w:trHeight w:val="227"/>
          <w:jc w:val="center"/>
        </w:trPr>
        <w:tc>
          <w:tcPr>
            <w:tcW w:w="1004" w:type="dxa"/>
            <w:tcBorders>
              <w:bottom w:val="single" w:sz="4" w:space="0" w:color="auto"/>
            </w:tcBorders>
            <w:shd w:val="clear" w:color="auto" w:fill="auto"/>
            <w:noWrap/>
            <w:vAlign w:val="bottom"/>
            <w:hideMark/>
          </w:tcPr>
          <w:p w14:paraId="25144F2F" w14:textId="77777777" w:rsidR="00D366D2" w:rsidRPr="003D772D" w:rsidRDefault="00D366D2" w:rsidP="007F00EC">
            <w:pPr>
              <w:spacing w:after="0" w:line="240" w:lineRule="auto"/>
              <w:jc w:val="center"/>
              <w:rPr>
                <w:rFonts w:ascii="Arial Narrow" w:eastAsia="Times New Roman" w:hAnsi="Arial Narrow" w:cs="Times New Roman"/>
                <w:b/>
                <w:bCs/>
                <w:color w:val="000000"/>
                <w:sz w:val="20"/>
                <w:szCs w:val="18"/>
              </w:rPr>
            </w:pPr>
            <w:r w:rsidRPr="003D772D">
              <w:rPr>
                <w:rFonts w:ascii="Arial Narrow" w:eastAsia="Times New Roman" w:hAnsi="Arial Narrow" w:cs="Times New Roman"/>
                <w:b/>
                <w:bCs/>
                <w:color w:val="000000"/>
                <w:sz w:val="20"/>
                <w:szCs w:val="18"/>
              </w:rPr>
              <w:t>Total</w:t>
            </w:r>
          </w:p>
        </w:tc>
        <w:tc>
          <w:tcPr>
            <w:tcW w:w="1230" w:type="dxa"/>
            <w:gridSpan w:val="2"/>
            <w:tcBorders>
              <w:bottom w:val="single" w:sz="4" w:space="0" w:color="auto"/>
            </w:tcBorders>
            <w:shd w:val="clear" w:color="auto" w:fill="auto"/>
            <w:noWrap/>
            <w:vAlign w:val="bottom"/>
            <w:hideMark/>
          </w:tcPr>
          <w:p w14:paraId="172E8555" w14:textId="77777777" w:rsidR="00D366D2" w:rsidRDefault="00D366D2"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22</w:t>
            </w:r>
          </w:p>
        </w:tc>
        <w:tc>
          <w:tcPr>
            <w:tcW w:w="1341" w:type="dxa"/>
            <w:tcBorders>
              <w:bottom w:val="single" w:sz="4" w:space="0" w:color="auto"/>
            </w:tcBorders>
            <w:shd w:val="clear" w:color="auto" w:fill="auto"/>
            <w:noWrap/>
            <w:vAlign w:val="bottom"/>
            <w:hideMark/>
          </w:tcPr>
          <w:p w14:paraId="6EBDDDC0" w14:textId="77777777" w:rsidR="00D366D2" w:rsidRDefault="00D366D2"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22</w:t>
            </w:r>
          </w:p>
        </w:tc>
        <w:tc>
          <w:tcPr>
            <w:tcW w:w="1230" w:type="dxa"/>
            <w:tcBorders>
              <w:bottom w:val="single" w:sz="4" w:space="0" w:color="auto"/>
            </w:tcBorders>
            <w:shd w:val="clear" w:color="auto" w:fill="auto"/>
            <w:noWrap/>
            <w:vAlign w:val="bottom"/>
            <w:hideMark/>
          </w:tcPr>
          <w:p w14:paraId="04F100B8" w14:textId="77777777" w:rsidR="00D366D2" w:rsidRDefault="00D366D2"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100.00</w:t>
            </w:r>
          </w:p>
        </w:tc>
        <w:tc>
          <w:tcPr>
            <w:tcW w:w="1433" w:type="dxa"/>
            <w:tcBorders>
              <w:bottom w:val="single" w:sz="4" w:space="0" w:color="auto"/>
            </w:tcBorders>
            <w:shd w:val="clear" w:color="auto" w:fill="auto"/>
            <w:noWrap/>
            <w:vAlign w:val="bottom"/>
            <w:hideMark/>
          </w:tcPr>
          <w:p w14:paraId="2CB550F6" w14:textId="77777777" w:rsidR="00D366D2" w:rsidRDefault="00D366D2"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100.00</w:t>
            </w:r>
          </w:p>
        </w:tc>
      </w:tr>
    </w:tbl>
    <w:p w14:paraId="63F82C3F" w14:textId="77777777" w:rsidR="006A6746" w:rsidRDefault="006A6746" w:rsidP="006A6746">
      <w:pPr>
        <w:keepNext/>
        <w:spacing w:before="240" w:after="0"/>
        <w:jc w:val="center"/>
      </w:pPr>
      <w:r>
        <w:rPr>
          <w:noProof/>
          <w:lang w:eastAsia="es-EC"/>
        </w:rPr>
        <w:lastRenderedPageBreak/>
        <w:drawing>
          <wp:inline distT="0" distB="0" distL="0" distR="0" wp14:anchorId="0F80F4E8" wp14:editId="7C87C599">
            <wp:extent cx="2771775" cy="1800000"/>
            <wp:effectExtent l="0" t="0" r="9525" b="1016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45EABC" w14:textId="5E30EF53" w:rsidR="00297360" w:rsidRDefault="006A6746" w:rsidP="00207CB9">
      <w:pPr>
        <w:pStyle w:val="Descripcin"/>
        <w:jc w:val="center"/>
        <w:rPr>
          <w:rFonts w:ascii="Arial Narrow" w:hAnsi="Arial Narrow"/>
          <w:b/>
          <w:bCs/>
          <w:i w:val="0"/>
          <w:iCs w:val="0"/>
          <w:color w:val="0D0D0D" w:themeColor="text1" w:themeTint="F2"/>
          <w:sz w:val="20"/>
          <w:szCs w:val="20"/>
        </w:rPr>
      </w:pPr>
      <w:r w:rsidRPr="006A6746">
        <w:rPr>
          <w:rFonts w:ascii="Arial Narrow" w:hAnsi="Arial Narrow"/>
          <w:b/>
          <w:bCs/>
          <w:i w:val="0"/>
          <w:iCs w:val="0"/>
          <w:color w:val="0D0D0D" w:themeColor="text1" w:themeTint="F2"/>
          <w:sz w:val="20"/>
          <w:szCs w:val="20"/>
        </w:rPr>
        <w:t xml:space="preserve">Figura </w:t>
      </w:r>
      <w:r w:rsidRPr="006A6746">
        <w:rPr>
          <w:rFonts w:ascii="Arial Narrow" w:hAnsi="Arial Narrow"/>
          <w:b/>
          <w:bCs/>
          <w:i w:val="0"/>
          <w:iCs w:val="0"/>
          <w:color w:val="0D0D0D" w:themeColor="text1" w:themeTint="F2"/>
          <w:sz w:val="20"/>
          <w:szCs w:val="20"/>
        </w:rPr>
        <w:fldChar w:fldCharType="begin"/>
      </w:r>
      <w:r w:rsidRPr="006A6746">
        <w:rPr>
          <w:rFonts w:ascii="Arial Narrow" w:hAnsi="Arial Narrow"/>
          <w:b/>
          <w:bCs/>
          <w:i w:val="0"/>
          <w:iCs w:val="0"/>
          <w:color w:val="0D0D0D" w:themeColor="text1" w:themeTint="F2"/>
          <w:sz w:val="20"/>
          <w:szCs w:val="20"/>
        </w:rPr>
        <w:instrText xml:space="preserve"> SEQ Figura \* ARABIC </w:instrText>
      </w:r>
      <w:r w:rsidRPr="006A6746">
        <w:rPr>
          <w:rFonts w:ascii="Arial Narrow" w:hAnsi="Arial Narrow"/>
          <w:b/>
          <w:bCs/>
          <w:i w:val="0"/>
          <w:iCs w:val="0"/>
          <w:color w:val="0D0D0D" w:themeColor="text1" w:themeTint="F2"/>
          <w:sz w:val="20"/>
          <w:szCs w:val="20"/>
        </w:rPr>
        <w:fldChar w:fldCharType="separate"/>
      </w:r>
      <w:r w:rsidRPr="006A6746">
        <w:rPr>
          <w:rFonts w:ascii="Arial Narrow" w:hAnsi="Arial Narrow"/>
          <w:b/>
          <w:bCs/>
          <w:i w:val="0"/>
          <w:iCs w:val="0"/>
          <w:color w:val="0D0D0D" w:themeColor="text1" w:themeTint="F2"/>
          <w:sz w:val="20"/>
          <w:szCs w:val="20"/>
        </w:rPr>
        <w:t>3</w:t>
      </w:r>
      <w:r w:rsidRPr="006A6746">
        <w:rPr>
          <w:rFonts w:ascii="Arial Narrow" w:hAnsi="Arial Narrow"/>
          <w:b/>
          <w:bCs/>
          <w:i w:val="0"/>
          <w:iCs w:val="0"/>
          <w:color w:val="0D0D0D" w:themeColor="text1" w:themeTint="F2"/>
          <w:sz w:val="20"/>
          <w:szCs w:val="20"/>
        </w:rPr>
        <w:fldChar w:fldCharType="end"/>
      </w:r>
      <w:r w:rsidRPr="006A6746">
        <w:rPr>
          <w:rFonts w:ascii="Arial Narrow" w:hAnsi="Arial Narrow"/>
          <w:b/>
          <w:bCs/>
          <w:i w:val="0"/>
          <w:iCs w:val="0"/>
          <w:color w:val="0D0D0D" w:themeColor="text1" w:themeTint="F2"/>
          <w:sz w:val="20"/>
          <w:szCs w:val="20"/>
        </w:rPr>
        <w:t>.</w:t>
      </w:r>
      <w:r w:rsidRPr="006A6746">
        <w:rPr>
          <w:rFonts w:ascii="Arial Narrow" w:hAnsi="Arial Narrow"/>
          <w:i w:val="0"/>
          <w:iCs w:val="0"/>
          <w:color w:val="0D0D0D" w:themeColor="text1" w:themeTint="F2"/>
          <w:sz w:val="20"/>
          <w:szCs w:val="20"/>
        </w:rPr>
        <w:t xml:space="preserve"> </w:t>
      </w:r>
      <w:r>
        <w:rPr>
          <w:rFonts w:ascii="Arial Narrow" w:hAnsi="Arial Narrow"/>
          <w:i w:val="0"/>
          <w:iCs w:val="0"/>
          <w:color w:val="0D0D0D" w:themeColor="text1" w:themeTint="F2"/>
          <w:sz w:val="20"/>
          <w:szCs w:val="20"/>
        </w:rPr>
        <w:t>P</w:t>
      </w:r>
      <w:r w:rsidRPr="0068714E">
        <w:rPr>
          <w:rFonts w:ascii="Arial Narrow" w:hAnsi="Arial Narrow"/>
          <w:i w:val="0"/>
          <w:iCs w:val="0"/>
          <w:color w:val="0D0D0D" w:themeColor="text1" w:themeTint="F2"/>
          <w:sz w:val="20"/>
          <w:szCs w:val="20"/>
        </w:rPr>
        <w:t xml:space="preserve">orcentaje de aciertos en la pregunta </w:t>
      </w:r>
      <w:r>
        <w:rPr>
          <w:rFonts w:ascii="Arial Narrow" w:hAnsi="Arial Narrow"/>
          <w:i w:val="0"/>
          <w:iCs w:val="0"/>
          <w:color w:val="0D0D0D" w:themeColor="text1" w:themeTint="F2"/>
          <w:sz w:val="20"/>
          <w:szCs w:val="20"/>
        </w:rPr>
        <w:t>2</w:t>
      </w:r>
      <w:r w:rsidRPr="0068714E">
        <w:rPr>
          <w:rFonts w:ascii="Arial Narrow" w:hAnsi="Arial Narrow"/>
          <w:i w:val="0"/>
          <w:iCs w:val="0"/>
          <w:color w:val="0D0D0D" w:themeColor="text1" w:themeTint="F2"/>
          <w:sz w:val="20"/>
          <w:szCs w:val="20"/>
        </w:rPr>
        <w:t xml:space="preserve"> de</w:t>
      </w:r>
      <w:r>
        <w:rPr>
          <w:rFonts w:ascii="Arial Narrow" w:hAnsi="Arial Narrow"/>
          <w:i w:val="0"/>
          <w:iCs w:val="0"/>
          <w:color w:val="0D0D0D" w:themeColor="text1" w:themeTint="F2"/>
          <w:sz w:val="20"/>
          <w:szCs w:val="20"/>
        </w:rPr>
        <w:t>l instrumento de</w:t>
      </w:r>
      <w:r w:rsidRPr="0068714E">
        <w:rPr>
          <w:rFonts w:ascii="Arial Narrow" w:hAnsi="Arial Narrow"/>
          <w:i w:val="0"/>
          <w:iCs w:val="0"/>
          <w:color w:val="0D0D0D" w:themeColor="text1" w:themeTint="F2"/>
          <w:sz w:val="20"/>
          <w:szCs w:val="20"/>
        </w:rPr>
        <w:t xml:space="preserve"> evaluación.</w:t>
      </w:r>
    </w:p>
    <w:p w14:paraId="165A3040" w14:textId="7E63F3F1" w:rsidR="00207CB9" w:rsidRPr="00207CB9" w:rsidRDefault="00207CB9" w:rsidP="00207CB9">
      <w:r>
        <w:t>En la pregunta número 2, ambos grupos lograron un 100% de aciertos ratificando la validez de los métodos de enseñanza aplicados para la clase de valoración ácido-base, tal como se muestra en la tabla 2 y la figura 3.</w:t>
      </w:r>
    </w:p>
    <w:p w14:paraId="1C01BCE9" w14:textId="582C1331" w:rsidR="00207CB9" w:rsidRDefault="00207CB9" w:rsidP="00207CB9">
      <w:pPr>
        <w:pStyle w:val="Prrafodelista"/>
        <w:numPr>
          <w:ilvl w:val="0"/>
          <w:numId w:val="6"/>
        </w:numPr>
        <w:spacing w:after="0" w:line="480" w:lineRule="auto"/>
        <w:rPr>
          <w:rFonts w:ascii="Arial" w:eastAsia="Times New Roman" w:hAnsi="Arial" w:cs="Arial"/>
          <w:color w:val="000000"/>
          <w:sz w:val="24"/>
          <w:szCs w:val="28"/>
        </w:rPr>
      </w:pPr>
      <w:r w:rsidRPr="00207CB9">
        <w:rPr>
          <w:rFonts w:ascii="Arial" w:eastAsia="Times New Roman" w:hAnsi="Arial" w:cs="Arial"/>
          <w:color w:val="000000"/>
          <w:sz w:val="24"/>
          <w:szCs w:val="28"/>
        </w:rPr>
        <w:t>¿Cuál es el volumen total añadido hasta el punto de equivalencia?</w:t>
      </w:r>
    </w:p>
    <w:p w14:paraId="2DE935F0" w14:textId="29C97C82" w:rsidR="00AC657A" w:rsidRPr="00AC657A" w:rsidRDefault="00AC657A" w:rsidP="00AC657A">
      <w:pPr>
        <w:rPr>
          <w:lang w:val="es-ES"/>
        </w:rPr>
      </w:pPr>
      <w:r w:rsidRPr="00AC657A">
        <w:rPr>
          <w:lang w:val="es-ES"/>
        </w:rPr>
        <w:t>La tabla 3 y figura 4 muestran que el 100% de los 2 grupos de estudio respondieron correctamente a la interrogante sobre el volumen total añadido respecto al punto de equivalencia.</w:t>
      </w:r>
    </w:p>
    <w:p w14:paraId="05F724A2" w14:textId="4C1E696D" w:rsidR="00207CB9" w:rsidRPr="0068714E" w:rsidRDefault="00207CB9" w:rsidP="00207CB9">
      <w:pPr>
        <w:pStyle w:val="Descripcin"/>
        <w:keepNext/>
        <w:spacing w:after="120"/>
        <w:ind w:left="360"/>
        <w:jc w:val="center"/>
        <w:rPr>
          <w:rFonts w:ascii="Arial Narrow" w:hAnsi="Arial Narrow"/>
          <w:i w:val="0"/>
          <w:iCs w:val="0"/>
          <w:color w:val="0D0D0D" w:themeColor="text1" w:themeTint="F2"/>
          <w:sz w:val="20"/>
          <w:szCs w:val="20"/>
        </w:rPr>
      </w:pPr>
      <w:r w:rsidRPr="004064D4">
        <w:rPr>
          <w:rFonts w:ascii="Arial Narrow" w:hAnsi="Arial Narrow"/>
          <w:b/>
          <w:bCs/>
          <w:i w:val="0"/>
          <w:iCs w:val="0"/>
          <w:color w:val="0D0D0D" w:themeColor="text1" w:themeTint="F2"/>
          <w:sz w:val="20"/>
          <w:szCs w:val="20"/>
        </w:rPr>
        <w:t xml:space="preserve">Tabla </w:t>
      </w:r>
      <w:r w:rsidRPr="004064D4">
        <w:rPr>
          <w:rFonts w:ascii="Arial Narrow" w:hAnsi="Arial Narrow"/>
          <w:b/>
          <w:bCs/>
          <w:i w:val="0"/>
          <w:iCs w:val="0"/>
          <w:color w:val="0D0D0D" w:themeColor="text1" w:themeTint="F2"/>
          <w:sz w:val="20"/>
          <w:szCs w:val="20"/>
        </w:rPr>
        <w:fldChar w:fldCharType="begin"/>
      </w:r>
      <w:r w:rsidRPr="004064D4">
        <w:rPr>
          <w:rFonts w:ascii="Arial Narrow" w:hAnsi="Arial Narrow"/>
          <w:b/>
          <w:bCs/>
          <w:i w:val="0"/>
          <w:iCs w:val="0"/>
          <w:color w:val="0D0D0D" w:themeColor="text1" w:themeTint="F2"/>
          <w:sz w:val="20"/>
          <w:szCs w:val="20"/>
        </w:rPr>
        <w:instrText xml:space="preserve"> SEQ Tabla \* ARABIC </w:instrText>
      </w:r>
      <w:r w:rsidRPr="004064D4">
        <w:rPr>
          <w:rFonts w:ascii="Arial Narrow" w:hAnsi="Arial Narrow"/>
          <w:b/>
          <w:bCs/>
          <w:i w:val="0"/>
          <w:iCs w:val="0"/>
          <w:color w:val="0D0D0D" w:themeColor="text1" w:themeTint="F2"/>
          <w:sz w:val="20"/>
          <w:szCs w:val="20"/>
        </w:rPr>
        <w:fldChar w:fldCharType="separate"/>
      </w:r>
      <w:r>
        <w:rPr>
          <w:rFonts w:ascii="Arial Narrow" w:hAnsi="Arial Narrow"/>
          <w:b/>
          <w:bCs/>
          <w:i w:val="0"/>
          <w:iCs w:val="0"/>
          <w:noProof/>
          <w:color w:val="0D0D0D" w:themeColor="text1" w:themeTint="F2"/>
          <w:sz w:val="20"/>
          <w:szCs w:val="20"/>
        </w:rPr>
        <w:t>3</w:t>
      </w:r>
      <w:r w:rsidRPr="004064D4">
        <w:rPr>
          <w:rFonts w:ascii="Arial Narrow" w:hAnsi="Arial Narrow"/>
          <w:b/>
          <w:bCs/>
          <w:i w:val="0"/>
          <w:iCs w:val="0"/>
          <w:color w:val="0D0D0D" w:themeColor="text1" w:themeTint="F2"/>
          <w:sz w:val="20"/>
          <w:szCs w:val="20"/>
        </w:rPr>
        <w:fldChar w:fldCharType="end"/>
      </w:r>
      <w:r>
        <w:rPr>
          <w:rFonts w:ascii="Arial Narrow" w:hAnsi="Arial Narrow"/>
          <w:i w:val="0"/>
          <w:iCs w:val="0"/>
          <w:color w:val="0D0D0D" w:themeColor="text1" w:themeTint="F2"/>
          <w:sz w:val="20"/>
          <w:szCs w:val="20"/>
        </w:rPr>
        <w:t xml:space="preserve">. </w:t>
      </w:r>
      <w:r w:rsidRPr="0068714E">
        <w:rPr>
          <w:rFonts w:ascii="Arial Narrow" w:hAnsi="Arial Narrow"/>
          <w:i w:val="0"/>
          <w:iCs w:val="0"/>
          <w:color w:val="0D0D0D" w:themeColor="text1" w:themeTint="F2"/>
          <w:sz w:val="20"/>
          <w:szCs w:val="20"/>
        </w:rPr>
        <w:t>Frecuencia y porcentaje de</w:t>
      </w:r>
      <w:r w:rsidR="00703487" w:rsidRPr="00703487">
        <w:rPr>
          <w:rFonts w:ascii="Arial Narrow" w:hAnsi="Arial Narrow"/>
          <w:i w:val="0"/>
          <w:iCs w:val="0"/>
          <w:color w:val="0D0D0D" w:themeColor="text1" w:themeTint="F2"/>
          <w:sz w:val="20"/>
          <w:szCs w:val="20"/>
        </w:rPr>
        <w:t xml:space="preserve"> </w:t>
      </w:r>
      <w:r w:rsidR="00703487">
        <w:rPr>
          <w:rFonts w:ascii="Arial Narrow" w:hAnsi="Arial Narrow"/>
          <w:i w:val="0"/>
          <w:iCs w:val="0"/>
          <w:color w:val="0D0D0D" w:themeColor="text1" w:themeTint="F2"/>
          <w:sz w:val="20"/>
          <w:szCs w:val="20"/>
        </w:rPr>
        <w:t>respuestas</w:t>
      </w:r>
      <w:r w:rsidR="00703487" w:rsidRPr="0068714E">
        <w:rPr>
          <w:rFonts w:ascii="Arial Narrow" w:hAnsi="Arial Narrow"/>
          <w:i w:val="0"/>
          <w:iCs w:val="0"/>
          <w:color w:val="0D0D0D" w:themeColor="text1" w:themeTint="F2"/>
          <w:sz w:val="20"/>
          <w:szCs w:val="20"/>
        </w:rPr>
        <w:t xml:space="preserve"> </w:t>
      </w:r>
      <w:r w:rsidRPr="0068714E">
        <w:rPr>
          <w:rFonts w:ascii="Arial Narrow" w:hAnsi="Arial Narrow"/>
          <w:i w:val="0"/>
          <w:iCs w:val="0"/>
          <w:color w:val="0D0D0D" w:themeColor="text1" w:themeTint="F2"/>
          <w:sz w:val="20"/>
          <w:szCs w:val="20"/>
        </w:rPr>
        <w:t xml:space="preserve">en la pregunta </w:t>
      </w:r>
      <w:r>
        <w:rPr>
          <w:rFonts w:ascii="Arial Narrow" w:hAnsi="Arial Narrow"/>
          <w:i w:val="0"/>
          <w:iCs w:val="0"/>
          <w:color w:val="0D0D0D" w:themeColor="text1" w:themeTint="F2"/>
          <w:sz w:val="20"/>
          <w:szCs w:val="20"/>
        </w:rPr>
        <w:t>3</w:t>
      </w:r>
      <w:r w:rsidRPr="0068714E">
        <w:rPr>
          <w:rFonts w:ascii="Arial Narrow" w:hAnsi="Arial Narrow"/>
          <w:i w:val="0"/>
          <w:iCs w:val="0"/>
          <w:color w:val="0D0D0D" w:themeColor="text1" w:themeTint="F2"/>
          <w:sz w:val="20"/>
          <w:szCs w:val="20"/>
        </w:rPr>
        <w:t xml:space="preserve"> de la evaluación.</w:t>
      </w:r>
    </w:p>
    <w:tbl>
      <w:tblPr>
        <w:tblW w:w="6238" w:type="dxa"/>
        <w:jc w:val="center"/>
        <w:tblCellMar>
          <w:left w:w="70" w:type="dxa"/>
          <w:right w:w="70" w:type="dxa"/>
        </w:tblCellMar>
        <w:tblLook w:val="04A0" w:firstRow="1" w:lastRow="0" w:firstColumn="1" w:lastColumn="0" w:noHBand="0" w:noVBand="1"/>
      </w:tblPr>
      <w:tblGrid>
        <w:gridCol w:w="1004"/>
        <w:gridCol w:w="1215"/>
        <w:gridCol w:w="15"/>
        <w:gridCol w:w="1341"/>
        <w:gridCol w:w="1230"/>
        <w:gridCol w:w="1433"/>
      </w:tblGrid>
      <w:tr w:rsidR="00207CB9" w14:paraId="3DEF9206" w14:textId="77777777" w:rsidTr="007F00EC">
        <w:trPr>
          <w:trHeight w:val="227"/>
          <w:jc w:val="center"/>
        </w:trPr>
        <w:tc>
          <w:tcPr>
            <w:tcW w:w="1004" w:type="dxa"/>
            <w:vMerge w:val="restart"/>
            <w:tcBorders>
              <w:top w:val="single" w:sz="4" w:space="0" w:color="auto"/>
            </w:tcBorders>
            <w:shd w:val="clear" w:color="auto" w:fill="auto"/>
            <w:noWrap/>
            <w:vAlign w:val="center"/>
            <w:hideMark/>
          </w:tcPr>
          <w:p w14:paraId="75450808" w14:textId="77777777" w:rsidR="00207CB9" w:rsidRPr="00FE69AA" w:rsidRDefault="00207CB9" w:rsidP="007F00EC">
            <w:pPr>
              <w:spacing w:after="0" w:line="240" w:lineRule="auto"/>
              <w:jc w:val="center"/>
              <w:rPr>
                <w:rFonts w:ascii="Arial Narrow" w:eastAsia="Times New Roman" w:hAnsi="Arial Narrow" w:cs="Times New Roman"/>
                <w:b/>
                <w:bCs/>
                <w:color w:val="000000"/>
                <w:sz w:val="20"/>
                <w:szCs w:val="18"/>
                <w:lang w:val="es-ES" w:eastAsia="es-ES"/>
              </w:rPr>
            </w:pPr>
            <w:r w:rsidRPr="00FE69AA">
              <w:rPr>
                <w:rFonts w:ascii="Arial Narrow" w:eastAsia="Times New Roman" w:hAnsi="Arial Narrow" w:cs="Times New Roman"/>
                <w:b/>
                <w:bCs/>
                <w:color w:val="000000"/>
                <w:sz w:val="20"/>
                <w:szCs w:val="18"/>
              </w:rPr>
              <w:t>Variables</w:t>
            </w:r>
          </w:p>
        </w:tc>
        <w:tc>
          <w:tcPr>
            <w:tcW w:w="2571" w:type="dxa"/>
            <w:gridSpan w:val="3"/>
            <w:tcBorders>
              <w:top w:val="single" w:sz="4" w:space="0" w:color="auto"/>
              <w:bottom w:val="single" w:sz="4" w:space="0" w:color="auto"/>
            </w:tcBorders>
            <w:shd w:val="clear" w:color="auto" w:fill="auto"/>
            <w:noWrap/>
            <w:vAlign w:val="center"/>
            <w:hideMark/>
          </w:tcPr>
          <w:p w14:paraId="7452090C" w14:textId="77777777" w:rsidR="00207CB9" w:rsidRPr="00FE69AA" w:rsidRDefault="00207CB9" w:rsidP="007F00EC">
            <w:pPr>
              <w:spacing w:after="0" w:line="240" w:lineRule="auto"/>
              <w:jc w:val="center"/>
              <w:rPr>
                <w:rFonts w:ascii="Arial Narrow" w:eastAsia="Times New Roman" w:hAnsi="Arial Narrow" w:cs="Times New Roman"/>
                <w:b/>
                <w:bCs/>
                <w:color w:val="000000"/>
                <w:sz w:val="20"/>
                <w:szCs w:val="18"/>
              </w:rPr>
            </w:pPr>
            <w:r w:rsidRPr="00FE69AA">
              <w:rPr>
                <w:rFonts w:ascii="Arial Narrow" w:eastAsia="Times New Roman" w:hAnsi="Arial Narrow" w:cs="Times New Roman"/>
                <w:b/>
                <w:bCs/>
                <w:color w:val="000000"/>
                <w:sz w:val="20"/>
                <w:szCs w:val="18"/>
              </w:rPr>
              <w:t>Frecuencia</w:t>
            </w:r>
          </w:p>
        </w:tc>
        <w:tc>
          <w:tcPr>
            <w:tcW w:w="2663" w:type="dxa"/>
            <w:gridSpan w:val="2"/>
            <w:tcBorders>
              <w:top w:val="single" w:sz="4" w:space="0" w:color="auto"/>
              <w:bottom w:val="single" w:sz="4" w:space="0" w:color="auto"/>
            </w:tcBorders>
            <w:shd w:val="clear" w:color="auto" w:fill="auto"/>
            <w:noWrap/>
            <w:vAlign w:val="center"/>
            <w:hideMark/>
          </w:tcPr>
          <w:p w14:paraId="0A32122A" w14:textId="77777777" w:rsidR="00207CB9" w:rsidRPr="00FE69AA" w:rsidRDefault="00207CB9" w:rsidP="007F00EC">
            <w:pPr>
              <w:spacing w:after="0" w:line="240" w:lineRule="auto"/>
              <w:jc w:val="center"/>
              <w:rPr>
                <w:rFonts w:ascii="Arial Narrow" w:eastAsia="Times New Roman" w:hAnsi="Arial Narrow" w:cs="Times New Roman"/>
                <w:b/>
                <w:bCs/>
                <w:color w:val="000000"/>
                <w:sz w:val="20"/>
                <w:szCs w:val="18"/>
              </w:rPr>
            </w:pPr>
            <w:r w:rsidRPr="00FE69AA">
              <w:rPr>
                <w:rFonts w:ascii="Arial Narrow" w:eastAsia="Times New Roman" w:hAnsi="Arial Narrow" w:cs="Times New Roman"/>
                <w:b/>
                <w:bCs/>
                <w:color w:val="000000"/>
                <w:sz w:val="20"/>
                <w:szCs w:val="18"/>
              </w:rPr>
              <w:t>Porcentaje</w:t>
            </w:r>
          </w:p>
        </w:tc>
      </w:tr>
      <w:tr w:rsidR="00207CB9" w14:paraId="4F0935C2" w14:textId="77777777" w:rsidTr="007F00EC">
        <w:trPr>
          <w:trHeight w:val="227"/>
          <w:jc w:val="center"/>
        </w:trPr>
        <w:tc>
          <w:tcPr>
            <w:tcW w:w="1004" w:type="dxa"/>
            <w:vMerge/>
            <w:tcBorders>
              <w:bottom w:val="single" w:sz="4" w:space="0" w:color="auto"/>
            </w:tcBorders>
            <w:shd w:val="clear" w:color="auto" w:fill="auto"/>
            <w:noWrap/>
            <w:vAlign w:val="center"/>
          </w:tcPr>
          <w:p w14:paraId="2AC1D5EF" w14:textId="77777777" w:rsidR="00207CB9" w:rsidRPr="00FE69AA" w:rsidRDefault="00207CB9" w:rsidP="007F00EC">
            <w:pPr>
              <w:spacing w:after="0" w:line="240" w:lineRule="auto"/>
              <w:jc w:val="center"/>
              <w:rPr>
                <w:rFonts w:ascii="Arial Narrow" w:eastAsia="Times New Roman" w:hAnsi="Arial Narrow" w:cs="Times New Roman"/>
                <w:b/>
                <w:bCs/>
                <w:color w:val="000000"/>
                <w:sz w:val="20"/>
                <w:szCs w:val="18"/>
              </w:rPr>
            </w:pPr>
          </w:p>
        </w:tc>
        <w:tc>
          <w:tcPr>
            <w:tcW w:w="1215" w:type="dxa"/>
            <w:tcBorders>
              <w:top w:val="single" w:sz="4" w:space="0" w:color="auto"/>
              <w:bottom w:val="single" w:sz="4" w:space="0" w:color="auto"/>
            </w:tcBorders>
            <w:shd w:val="clear" w:color="auto" w:fill="auto"/>
            <w:noWrap/>
            <w:vAlign w:val="center"/>
          </w:tcPr>
          <w:p w14:paraId="6938FEEC" w14:textId="77777777" w:rsidR="00207CB9" w:rsidRPr="00FE69AA" w:rsidRDefault="00207CB9"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M. Ambiente</w:t>
            </w:r>
          </w:p>
        </w:tc>
        <w:tc>
          <w:tcPr>
            <w:tcW w:w="1356" w:type="dxa"/>
            <w:gridSpan w:val="2"/>
            <w:tcBorders>
              <w:top w:val="single" w:sz="4" w:space="0" w:color="auto"/>
              <w:bottom w:val="single" w:sz="4" w:space="0" w:color="auto"/>
            </w:tcBorders>
            <w:shd w:val="clear" w:color="auto" w:fill="auto"/>
            <w:vAlign w:val="center"/>
          </w:tcPr>
          <w:p w14:paraId="4A98A06A" w14:textId="77777777" w:rsidR="00207CB9" w:rsidRPr="00FE69AA" w:rsidRDefault="00207CB9"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Agroindustrias</w:t>
            </w:r>
          </w:p>
        </w:tc>
        <w:tc>
          <w:tcPr>
            <w:tcW w:w="1230" w:type="dxa"/>
            <w:tcBorders>
              <w:top w:val="single" w:sz="4" w:space="0" w:color="auto"/>
              <w:bottom w:val="single" w:sz="4" w:space="0" w:color="auto"/>
            </w:tcBorders>
            <w:shd w:val="clear" w:color="auto" w:fill="auto"/>
            <w:noWrap/>
            <w:vAlign w:val="center"/>
          </w:tcPr>
          <w:p w14:paraId="5C4EE5F0" w14:textId="77777777" w:rsidR="00207CB9" w:rsidRPr="00FE69AA" w:rsidRDefault="00207CB9"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M. Ambiente</w:t>
            </w:r>
          </w:p>
        </w:tc>
        <w:tc>
          <w:tcPr>
            <w:tcW w:w="1433" w:type="dxa"/>
            <w:tcBorders>
              <w:top w:val="single" w:sz="4" w:space="0" w:color="auto"/>
              <w:bottom w:val="single" w:sz="4" w:space="0" w:color="auto"/>
            </w:tcBorders>
            <w:shd w:val="clear" w:color="auto" w:fill="auto"/>
            <w:vAlign w:val="center"/>
          </w:tcPr>
          <w:p w14:paraId="59D80373" w14:textId="77777777" w:rsidR="00207CB9" w:rsidRPr="00FE69AA" w:rsidRDefault="00207CB9"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Agroindustrias</w:t>
            </w:r>
          </w:p>
        </w:tc>
      </w:tr>
      <w:tr w:rsidR="00207CB9" w14:paraId="15F25686" w14:textId="77777777" w:rsidTr="007F00EC">
        <w:trPr>
          <w:trHeight w:val="227"/>
          <w:jc w:val="center"/>
        </w:trPr>
        <w:tc>
          <w:tcPr>
            <w:tcW w:w="1004" w:type="dxa"/>
            <w:tcBorders>
              <w:top w:val="single" w:sz="4" w:space="0" w:color="auto"/>
            </w:tcBorders>
            <w:shd w:val="clear" w:color="auto" w:fill="auto"/>
            <w:noWrap/>
            <w:vAlign w:val="bottom"/>
            <w:hideMark/>
          </w:tcPr>
          <w:p w14:paraId="2F602B4B" w14:textId="77777777" w:rsidR="00207CB9" w:rsidRDefault="00207CB9"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14 ml</w:t>
            </w:r>
          </w:p>
        </w:tc>
        <w:tc>
          <w:tcPr>
            <w:tcW w:w="1230" w:type="dxa"/>
            <w:gridSpan w:val="2"/>
            <w:tcBorders>
              <w:top w:val="single" w:sz="4" w:space="0" w:color="auto"/>
            </w:tcBorders>
            <w:shd w:val="clear" w:color="auto" w:fill="auto"/>
            <w:noWrap/>
            <w:vAlign w:val="bottom"/>
            <w:hideMark/>
          </w:tcPr>
          <w:p w14:paraId="1769B198" w14:textId="77777777" w:rsidR="00207CB9" w:rsidRDefault="00207CB9"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0</w:t>
            </w:r>
          </w:p>
        </w:tc>
        <w:tc>
          <w:tcPr>
            <w:tcW w:w="1341" w:type="dxa"/>
            <w:tcBorders>
              <w:top w:val="single" w:sz="4" w:space="0" w:color="auto"/>
            </w:tcBorders>
            <w:shd w:val="clear" w:color="auto" w:fill="auto"/>
            <w:noWrap/>
            <w:vAlign w:val="bottom"/>
            <w:hideMark/>
          </w:tcPr>
          <w:p w14:paraId="4CCEC36C" w14:textId="77777777" w:rsidR="00207CB9" w:rsidRDefault="00207CB9"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0</w:t>
            </w:r>
          </w:p>
        </w:tc>
        <w:tc>
          <w:tcPr>
            <w:tcW w:w="1230" w:type="dxa"/>
            <w:tcBorders>
              <w:top w:val="single" w:sz="4" w:space="0" w:color="auto"/>
            </w:tcBorders>
            <w:shd w:val="clear" w:color="auto" w:fill="auto"/>
            <w:noWrap/>
            <w:vAlign w:val="bottom"/>
            <w:hideMark/>
          </w:tcPr>
          <w:p w14:paraId="332BF0B5" w14:textId="77777777" w:rsidR="00207CB9" w:rsidRDefault="00207CB9"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0.00</w:t>
            </w:r>
          </w:p>
        </w:tc>
        <w:tc>
          <w:tcPr>
            <w:tcW w:w="1433" w:type="dxa"/>
            <w:tcBorders>
              <w:top w:val="single" w:sz="4" w:space="0" w:color="auto"/>
            </w:tcBorders>
            <w:shd w:val="clear" w:color="auto" w:fill="auto"/>
            <w:noWrap/>
            <w:vAlign w:val="bottom"/>
            <w:hideMark/>
          </w:tcPr>
          <w:p w14:paraId="37BE2DDD" w14:textId="77777777" w:rsidR="00207CB9" w:rsidRDefault="00207CB9"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0.00</w:t>
            </w:r>
          </w:p>
        </w:tc>
      </w:tr>
      <w:tr w:rsidR="00207CB9" w14:paraId="75DCFF7D" w14:textId="77777777" w:rsidTr="007F00EC">
        <w:trPr>
          <w:trHeight w:val="227"/>
          <w:jc w:val="center"/>
        </w:trPr>
        <w:tc>
          <w:tcPr>
            <w:tcW w:w="1004" w:type="dxa"/>
            <w:shd w:val="clear" w:color="auto" w:fill="auto"/>
            <w:noWrap/>
            <w:vAlign w:val="bottom"/>
            <w:hideMark/>
          </w:tcPr>
          <w:p w14:paraId="0CEE00FD" w14:textId="77777777" w:rsidR="00207CB9" w:rsidRDefault="00207CB9"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14.9 ml</w:t>
            </w:r>
          </w:p>
        </w:tc>
        <w:tc>
          <w:tcPr>
            <w:tcW w:w="1230" w:type="dxa"/>
            <w:gridSpan w:val="2"/>
            <w:shd w:val="clear" w:color="auto" w:fill="auto"/>
            <w:noWrap/>
            <w:vAlign w:val="bottom"/>
            <w:hideMark/>
          </w:tcPr>
          <w:p w14:paraId="21A8A721" w14:textId="77777777" w:rsidR="00207CB9" w:rsidRDefault="00207CB9"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22</w:t>
            </w:r>
          </w:p>
        </w:tc>
        <w:tc>
          <w:tcPr>
            <w:tcW w:w="1341" w:type="dxa"/>
            <w:shd w:val="clear" w:color="auto" w:fill="auto"/>
            <w:noWrap/>
            <w:vAlign w:val="bottom"/>
            <w:hideMark/>
          </w:tcPr>
          <w:p w14:paraId="5E205FD3" w14:textId="77777777" w:rsidR="00207CB9" w:rsidRDefault="00207CB9"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22</w:t>
            </w:r>
          </w:p>
        </w:tc>
        <w:tc>
          <w:tcPr>
            <w:tcW w:w="1230" w:type="dxa"/>
            <w:shd w:val="clear" w:color="auto" w:fill="auto"/>
            <w:noWrap/>
            <w:vAlign w:val="bottom"/>
            <w:hideMark/>
          </w:tcPr>
          <w:p w14:paraId="1B08FC65" w14:textId="77777777" w:rsidR="00207CB9" w:rsidRDefault="00207CB9"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100.00</w:t>
            </w:r>
          </w:p>
        </w:tc>
        <w:tc>
          <w:tcPr>
            <w:tcW w:w="1433" w:type="dxa"/>
            <w:shd w:val="clear" w:color="auto" w:fill="auto"/>
            <w:noWrap/>
            <w:vAlign w:val="bottom"/>
            <w:hideMark/>
          </w:tcPr>
          <w:p w14:paraId="42C760E5" w14:textId="77777777" w:rsidR="00207CB9" w:rsidRDefault="00207CB9"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100.00</w:t>
            </w:r>
          </w:p>
        </w:tc>
      </w:tr>
      <w:tr w:rsidR="00207CB9" w14:paraId="580C043D" w14:textId="77777777" w:rsidTr="007F00EC">
        <w:trPr>
          <w:trHeight w:val="227"/>
          <w:jc w:val="center"/>
        </w:trPr>
        <w:tc>
          <w:tcPr>
            <w:tcW w:w="1004" w:type="dxa"/>
            <w:tcBorders>
              <w:bottom w:val="single" w:sz="4" w:space="0" w:color="auto"/>
            </w:tcBorders>
            <w:shd w:val="clear" w:color="auto" w:fill="auto"/>
            <w:noWrap/>
            <w:vAlign w:val="bottom"/>
            <w:hideMark/>
          </w:tcPr>
          <w:p w14:paraId="3A42577F" w14:textId="77777777" w:rsidR="00207CB9" w:rsidRPr="003D772D" w:rsidRDefault="00207CB9" w:rsidP="007F00EC">
            <w:pPr>
              <w:spacing w:after="0" w:line="240" w:lineRule="auto"/>
              <w:jc w:val="center"/>
              <w:rPr>
                <w:rFonts w:ascii="Arial Narrow" w:eastAsia="Times New Roman" w:hAnsi="Arial Narrow" w:cs="Times New Roman"/>
                <w:b/>
                <w:bCs/>
                <w:color w:val="000000"/>
                <w:sz w:val="20"/>
                <w:szCs w:val="18"/>
              </w:rPr>
            </w:pPr>
            <w:r w:rsidRPr="003D772D">
              <w:rPr>
                <w:rFonts w:ascii="Arial Narrow" w:eastAsia="Times New Roman" w:hAnsi="Arial Narrow" w:cs="Times New Roman"/>
                <w:b/>
                <w:bCs/>
                <w:color w:val="000000"/>
                <w:sz w:val="20"/>
                <w:szCs w:val="18"/>
              </w:rPr>
              <w:t>Total</w:t>
            </w:r>
          </w:p>
        </w:tc>
        <w:tc>
          <w:tcPr>
            <w:tcW w:w="1230" w:type="dxa"/>
            <w:gridSpan w:val="2"/>
            <w:tcBorders>
              <w:bottom w:val="single" w:sz="4" w:space="0" w:color="auto"/>
            </w:tcBorders>
            <w:shd w:val="clear" w:color="auto" w:fill="auto"/>
            <w:noWrap/>
            <w:vAlign w:val="bottom"/>
            <w:hideMark/>
          </w:tcPr>
          <w:p w14:paraId="1E236AFF" w14:textId="77777777" w:rsidR="00207CB9" w:rsidRDefault="00207CB9"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22</w:t>
            </w:r>
          </w:p>
        </w:tc>
        <w:tc>
          <w:tcPr>
            <w:tcW w:w="1341" w:type="dxa"/>
            <w:tcBorders>
              <w:bottom w:val="single" w:sz="4" w:space="0" w:color="auto"/>
            </w:tcBorders>
            <w:shd w:val="clear" w:color="auto" w:fill="auto"/>
            <w:noWrap/>
            <w:vAlign w:val="bottom"/>
            <w:hideMark/>
          </w:tcPr>
          <w:p w14:paraId="4FCC7388" w14:textId="77777777" w:rsidR="00207CB9" w:rsidRDefault="00207CB9"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22</w:t>
            </w:r>
          </w:p>
        </w:tc>
        <w:tc>
          <w:tcPr>
            <w:tcW w:w="1230" w:type="dxa"/>
            <w:tcBorders>
              <w:bottom w:val="single" w:sz="4" w:space="0" w:color="auto"/>
            </w:tcBorders>
            <w:shd w:val="clear" w:color="auto" w:fill="auto"/>
            <w:noWrap/>
            <w:vAlign w:val="bottom"/>
            <w:hideMark/>
          </w:tcPr>
          <w:p w14:paraId="7178F967" w14:textId="77777777" w:rsidR="00207CB9" w:rsidRDefault="00207CB9"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100.00</w:t>
            </w:r>
          </w:p>
        </w:tc>
        <w:tc>
          <w:tcPr>
            <w:tcW w:w="1433" w:type="dxa"/>
            <w:tcBorders>
              <w:bottom w:val="single" w:sz="4" w:space="0" w:color="auto"/>
            </w:tcBorders>
            <w:shd w:val="clear" w:color="auto" w:fill="auto"/>
            <w:noWrap/>
            <w:vAlign w:val="bottom"/>
            <w:hideMark/>
          </w:tcPr>
          <w:p w14:paraId="4904CBD2" w14:textId="77777777" w:rsidR="00207CB9" w:rsidRDefault="00207CB9"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100.00</w:t>
            </w:r>
          </w:p>
        </w:tc>
      </w:tr>
    </w:tbl>
    <w:p w14:paraId="79ED7936" w14:textId="77777777" w:rsidR="00207CB9" w:rsidRDefault="00207CB9" w:rsidP="00207CB9">
      <w:pPr>
        <w:keepNext/>
        <w:spacing w:before="240" w:after="0"/>
        <w:jc w:val="center"/>
      </w:pPr>
      <w:r>
        <w:rPr>
          <w:noProof/>
          <w:lang w:eastAsia="es-EC"/>
        </w:rPr>
        <w:drawing>
          <wp:inline distT="0" distB="0" distL="0" distR="0" wp14:anchorId="65B2C0EF" wp14:editId="29ED9A24">
            <wp:extent cx="2771775" cy="1800000"/>
            <wp:effectExtent l="0" t="0" r="9525" b="1016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6960DE" w14:textId="656EE7A9" w:rsidR="00297360" w:rsidRDefault="00207CB9" w:rsidP="00B56AE4">
      <w:pPr>
        <w:pStyle w:val="Descripcin"/>
        <w:jc w:val="center"/>
        <w:rPr>
          <w:rFonts w:ascii="Arial Narrow" w:hAnsi="Arial Narrow"/>
          <w:i w:val="0"/>
          <w:iCs w:val="0"/>
          <w:color w:val="0D0D0D" w:themeColor="text1" w:themeTint="F2"/>
          <w:sz w:val="20"/>
          <w:szCs w:val="20"/>
        </w:rPr>
      </w:pPr>
      <w:r w:rsidRPr="006A6746">
        <w:rPr>
          <w:rFonts w:ascii="Arial Narrow" w:hAnsi="Arial Narrow"/>
          <w:b/>
          <w:bCs/>
          <w:i w:val="0"/>
          <w:iCs w:val="0"/>
          <w:color w:val="0D0D0D" w:themeColor="text1" w:themeTint="F2"/>
          <w:sz w:val="20"/>
          <w:szCs w:val="20"/>
        </w:rPr>
        <w:t xml:space="preserve">Figura </w:t>
      </w:r>
      <w:r w:rsidRPr="006A6746">
        <w:rPr>
          <w:rFonts w:ascii="Arial Narrow" w:hAnsi="Arial Narrow"/>
          <w:b/>
          <w:bCs/>
          <w:i w:val="0"/>
          <w:iCs w:val="0"/>
          <w:color w:val="0D0D0D" w:themeColor="text1" w:themeTint="F2"/>
          <w:sz w:val="20"/>
          <w:szCs w:val="20"/>
        </w:rPr>
        <w:fldChar w:fldCharType="begin"/>
      </w:r>
      <w:r w:rsidRPr="006A6746">
        <w:rPr>
          <w:rFonts w:ascii="Arial Narrow" w:hAnsi="Arial Narrow"/>
          <w:b/>
          <w:bCs/>
          <w:i w:val="0"/>
          <w:iCs w:val="0"/>
          <w:color w:val="0D0D0D" w:themeColor="text1" w:themeTint="F2"/>
          <w:sz w:val="20"/>
          <w:szCs w:val="20"/>
        </w:rPr>
        <w:instrText xml:space="preserve"> SEQ Figura \* ARABIC </w:instrText>
      </w:r>
      <w:r w:rsidRPr="006A6746">
        <w:rPr>
          <w:rFonts w:ascii="Arial Narrow" w:hAnsi="Arial Narrow"/>
          <w:b/>
          <w:bCs/>
          <w:i w:val="0"/>
          <w:iCs w:val="0"/>
          <w:color w:val="0D0D0D" w:themeColor="text1" w:themeTint="F2"/>
          <w:sz w:val="20"/>
          <w:szCs w:val="20"/>
        </w:rPr>
        <w:fldChar w:fldCharType="separate"/>
      </w:r>
      <w:r>
        <w:rPr>
          <w:rFonts w:ascii="Arial Narrow" w:hAnsi="Arial Narrow"/>
          <w:b/>
          <w:bCs/>
          <w:i w:val="0"/>
          <w:iCs w:val="0"/>
          <w:noProof/>
          <w:color w:val="0D0D0D" w:themeColor="text1" w:themeTint="F2"/>
          <w:sz w:val="20"/>
          <w:szCs w:val="20"/>
        </w:rPr>
        <w:t>4</w:t>
      </w:r>
      <w:r w:rsidRPr="006A6746">
        <w:rPr>
          <w:rFonts w:ascii="Arial Narrow" w:hAnsi="Arial Narrow"/>
          <w:b/>
          <w:bCs/>
          <w:i w:val="0"/>
          <w:iCs w:val="0"/>
          <w:color w:val="0D0D0D" w:themeColor="text1" w:themeTint="F2"/>
          <w:sz w:val="20"/>
          <w:szCs w:val="20"/>
        </w:rPr>
        <w:fldChar w:fldCharType="end"/>
      </w:r>
      <w:r w:rsidRPr="006A6746">
        <w:rPr>
          <w:rFonts w:ascii="Arial Narrow" w:hAnsi="Arial Narrow"/>
          <w:b/>
          <w:bCs/>
          <w:i w:val="0"/>
          <w:iCs w:val="0"/>
          <w:color w:val="0D0D0D" w:themeColor="text1" w:themeTint="F2"/>
          <w:sz w:val="20"/>
          <w:szCs w:val="20"/>
        </w:rPr>
        <w:t>.</w:t>
      </w:r>
      <w:r w:rsidRPr="006A6746">
        <w:rPr>
          <w:rFonts w:ascii="Arial Narrow" w:hAnsi="Arial Narrow"/>
          <w:i w:val="0"/>
          <w:iCs w:val="0"/>
          <w:color w:val="0D0D0D" w:themeColor="text1" w:themeTint="F2"/>
          <w:sz w:val="20"/>
          <w:szCs w:val="20"/>
        </w:rPr>
        <w:t xml:space="preserve"> </w:t>
      </w:r>
      <w:r>
        <w:rPr>
          <w:rFonts w:ascii="Arial Narrow" w:hAnsi="Arial Narrow"/>
          <w:i w:val="0"/>
          <w:iCs w:val="0"/>
          <w:color w:val="0D0D0D" w:themeColor="text1" w:themeTint="F2"/>
          <w:sz w:val="20"/>
          <w:szCs w:val="20"/>
        </w:rPr>
        <w:t>P</w:t>
      </w:r>
      <w:r w:rsidRPr="0068714E">
        <w:rPr>
          <w:rFonts w:ascii="Arial Narrow" w:hAnsi="Arial Narrow"/>
          <w:i w:val="0"/>
          <w:iCs w:val="0"/>
          <w:color w:val="0D0D0D" w:themeColor="text1" w:themeTint="F2"/>
          <w:sz w:val="20"/>
          <w:szCs w:val="20"/>
        </w:rPr>
        <w:t xml:space="preserve">orcentaje de aciertos en la pregunta </w:t>
      </w:r>
      <w:r>
        <w:rPr>
          <w:rFonts w:ascii="Arial Narrow" w:hAnsi="Arial Narrow"/>
          <w:i w:val="0"/>
          <w:iCs w:val="0"/>
          <w:color w:val="0D0D0D" w:themeColor="text1" w:themeTint="F2"/>
          <w:sz w:val="20"/>
          <w:szCs w:val="20"/>
        </w:rPr>
        <w:t>3</w:t>
      </w:r>
      <w:r w:rsidRPr="0068714E">
        <w:rPr>
          <w:rFonts w:ascii="Arial Narrow" w:hAnsi="Arial Narrow"/>
          <w:i w:val="0"/>
          <w:iCs w:val="0"/>
          <w:color w:val="0D0D0D" w:themeColor="text1" w:themeTint="F2"/>
          <w:sz w:val="20"/>
          <w:szCs w:val="20"/>
        </w:rPr>
        <w:t xml:space="preserve"> de</w:t>
      </w:r>
      <w:r>
        <w:rPr>
          <w:rFonts w:ascii="Arial Narrow" w:hAnsi="Arial Narrow"/>
          <w:i w:val="0"/>
          <w:iCs w:val="0"/>
          <w:color w:val="0D0D0D" w:themeColor="text1" w:themeTint="F2"/>
          <w:sz w:val="20"/>
          <w:szCs w:val="20"/>
        </w:rPr>
        <w:t>l instrumento de</w:t>
      </w:r>
      <w:r w:rsidRPr="0068714E">
        <w:rPr>
          <w:rFonts w:ascii="Arial Narrow" w:hAnsi="Arial Narrow"/>
          <w:i w:val="0"/>
          <w:iCs w:val="0"/>
          <w:color w:val="0D0D0D" w:themeColor="text1" w:themeTint="F2"/>
          <w:sz w:val="20"/>
          <w:szCs w:val="20"/>
        </w:rPr>
        <w:t xml:space="preserve"> evaluación.</w:t>
      </w:r>
    </w:p>
    <w:p w14:paraId="17C753EA" w14:textId="41D2E8C2" w:rsidR="00297360" w:rsidRPr="00DF3003" w:rsidRDefault="00DF3003" w:rsidP="00DF3003">
      <w:pPr>
        <w:pStyle w:val="Prrafodelista"/>
        <w:numPr>
          <w:ilvl w:val="0"/>
          <w:numId w:val="6"/>
        </w:numPr>
        <w:spacing w:line="360" w:lineRule="auto"/>
        <w:rPr>
          <w:rFonts w:ascii="Arial" w:hAnsi="Arial" w:cs="Arial"/>
          <w:sz w:val="24"/>
          <w:szCs w:val="24"/>
        </w:rPr>
      </w:pPr>
      <w:r w:rsidRPr="00DF3003">
        <w:rPr>
          <w:rFonts w:ascii="Arial" w:hAnsi="Arial" w:cs="Arial"/>
          <w:sz w:val="24"/>
          <w:szCs w:val="24"/>
        </w:rPr>
        <w:t>¿Cuál de los siguientes valores corresponden al pH de la valoración ácido-base que tituló?</w:t>
      </w:r>
    </w:p>
    <w:p w14:paraId="1B1B7897" w14:textId="3FF12A3C" w:rsidR="00DF3003" w:rsidRPr="0068714E" w:rsidRDefault="00DF3003" w:rsidP="00DF3003">
      <w:pPr>
        <w:pStyle w:val="Descripcin"/>
        <w:keepNext/>
        <w:spacing w:after="120"/>
        <w:ind w:left="360"/>
        <w:jc w:val="center"/>
        <w:rPr>
          <w:rFonts w:ascii="Arial Narrow" w:hAnsi="Arial Narrow"/>
          <w:i w:val="0"/>
          <w:iCs w:val="0"/>
          <w:color w:val="0D0D0D" w:themeColor="text1" w:themeTint="F2"/>
          <w:sz w:val="20"/>
          <w:szCs w:val="20"/>
        </w:rPr>
      </w:pPr>
      <w:r w:rsidRPr="004064D4">
        <w:rPr>
          <w:rFonts w:ascii="Arial Narrow" w:hAnsi="Arial Narrow"/>
          <w:b/>
          <w:bCs/>
          <w:i w:val="0"/>
          <w:iCs w:val="0"/>
          <w:color w:val="0D0D0D" w:themeColor="text1" w:themeTint="F2"/>
          <w:sz w:val="20"/>
          <w:szCs w:val="20"/>
        </w:rPr>
        <w:t xml:space="preserve">Tabla </w:t>
      </w:r>
      <w:r w:rsidRPr="004064D4">
        <w:rPr>
          <w:rFonts w:ascii="Arial Narrow" w:hAnsi="Arial Narrow"/>
          <w:b/>
          <w:bCs/>
          <w:i w:val="0"/>
          <w:iCs w:val="0"/>
          <w:color w:val="0D0D0D" w:themeColor="text1" w:themeTint="F2"/>
          <w:sz w:val="20"/>
          <w:szCs w:val="20"/>
        </w:rPr>
        <w:fldChar w:fldCharType="begin"/>
      </w:r>
      <w:r w:rsidRPr="004064D4">
        <w:rPr>
          <w:rFonts w:ascii="Arial Narrow" w:hAnsi="Arial Narrow"/>
          <w:b/>
          <w:bCs/>
          <w:i w:val="0"/>
          <w:iCs w:val="0"/>
          <w:color w:val="0D0D0D" w:themeColor="text1" w:themeTint="F2"/>
          <w:sz w:val="20"/>
          <w:szCs w:val="20"/>
        </w:rPr>
        <w:instrText xml:space="preserve"> SEQ Tabla \* ARABIC </w:instrText>
      </w:r>
      <w:r w:rsidRPr="004064D4">
        <w:rPr>
          <w:rFonts w:ascii="Arial Narrow" w:hAnsi="Arial Narrow"/>
          <w:b/>
          <w:bCs/>
          <w:i w:val="0"/>
          <w:iCs w:val="0"/>
          <w:color w:val="0D0D0D" w:themeColor="text1" w:themeTint="F2"/>
          <w:sz w:val="20"/>
          <w:szCs w:val="20"/>
        </w:rPr>
        <w:fldChar w:fldCharType="separate"/>
      </w:r>
      <w:r>
        <w:rPr>
          <w:rFonts w:ascii="Arial Narrow" w:hAnsi="Arial Narrow"/>
          <w:b/>
          <w:bCs/>
          <w:i w:val="0"/>
          <w:iCs w:val="0"/>
          <w:noProof/>
          <w:color w:val="0D0D0D" w:themeColor="text1" w:themeTint="F2"/>
          <w:sz w:val="20"/>
          <w:szCs w:val="20"/>
        </w:rPr>
        <w:t>4</w:t>
      </w:r>
      <w:r w:rsidRPr="004064D4">
        <w:rPr>
          <w:rFonts w:ascii="Arial Narrow" w:hAnsi="Arial Narrow"/>
          <w:b/>
          <w:bCs/>
          <w:i w:val="0"/>
          <w:iCs w:val="0"/>
          <w:color w:val="0D0D0D" w:themeColor="text1" w:themeTint="F2"/>
          <w:sz w:val="20"/>
          <w:szCs w:val="20"/>
        </w:rPr>
        <w:fldChar w:fldCharType="end"/>
      </w:r>
      <w:r>
        <w:rPr>
          <w:rFonts w:ascii="Arial Narrow" w:hAnsi="Arial Narrow"/>
          <w:i w:val="0"/>
          <w:iCs w:val="0"/>
          <w:color w:val="0D0D0D" w:themeColor="text1" w:themeTint="F2"/>
          <w:sz w:val="20"/>
          <w:szCs w:val="20"/>
        </w:rPr>
        <w:t xml:space="preserve">. </w:t>
      </w:r>
      <w:r w:rsidRPr="0068714E">
        <w:rPr>
          <w:rFonts w:ascii="Arial Narrow" w:hAnsi="Arial Narrow"/>
          <w:i w:val="0"/>
          <w:iCs w:val="0"/>
          <w:color w:val="0D0D0D" w:themeColor="text1" w:themeTint="F2"/>
          <w:sz w:val="20"/>
          <w:szCs w:val="20"/>
        </w:rPr>
        <w:t xml:space="preserve">Frecuencia y porcentaje de </w:t>
      </w:r>
      <w:r w:rsidR="00703487">
        <w:rPr>
          <w:rFonts w:ascii="Arial Narrow" w:hAnsi="Arial Narrow"/>
          <w:i w:val="0"/>
          <w:iCs w:val="0"/>
          <w:color w:val="0D0D0D" w:themeColor="text1" w:themeTint="F2"/>
          <w:sz w:val="20"/>
          <w:szCs w:val="20"/>
        </w:rPr>
        <w:t>respuestas</w:t>
      </w:r>
      <w:r w:rsidR="00703487" w:rsidRPr="0068714E">
        <w:rPr>
          <w:rFonts w:ascii="Arial Narrow" w:hAnsi="Arial Narrow"/>
          <w:i w:val="0"/>
          <w:iCs w:val="0"/>
          <w:color w:val="0D0D0D" w:themeColor="text1" w:themeTint="F2"/>
          <w:sz w:val="20"/>
          <w:szCs w:val="20"/>
        </w:rPr>
        <w:t xml:space="preserve"> </w:t>
      </w:r>
      <w:r w:rsidRPr="0068714E">
        <w:rPr>
          <w:rFonts w:ascii="Arial Narrow" w:hAnsi="Arial Narrow"/>
          <w:i w:val="0"/>
          <w:iCs w:val="0"/>
          <w:color w:val="0D0D0D" w:themeColor="text1" w:themeTint="F2"/>
          <w:sz w:val="20"/>
          <w:szCs w:val="20"/>
        </w:rPr>
        <w:t xml:space="preserve">en la pregunta </w:t>
      </w:r>
      <w:r>
        <w:rPr>
          <w:rFonts w:ascii="Arial Narrow" w:hAnsi="Arial Narrow"/>
          <w:i w:val="0"/>
          <w:iCs w:val="0"/>
          <w:color w:val="0D0D0D" w:themeColor="text1" w:themeTint="F2"/>
          <w:sz w:val="20"/>
          <w:szCs w:val="20"/>
        </w:rPr>
        <w:t>4</w:t>
      </w:r>
      <w:r w:rsidRPr="0068714E">
        <w:rPr>
          <w:rFonts w:ascii="Arial Narrow" w:hAnsi="Arial Narrow"/>
          <w:i w:val="0"/>
          <w:iCs w:val="0"/>
          <w:color w:val="0D0D0D" w:themeColor="text1" w:themeTint="F2"/>
          <w:sz w:val="20"/>
          <w:szCs w:val="20"/>
        </w:rPr>
        <w:t xml:space="preserve"> de la evaluación.</w:t>
      </w:r>
    </w:p>
    <w:tbl>
      <w:tblPr>
        <w:tblW w:w="6238" w:type="dxa"/>
        <w:jc w:val="center"/>
        <w:tblCellMar>
          <w:left w:w="70" w:type="dxa"/>
          <w:right w:w="70" w:type="dxa"/>
        </w:tblCellMar>
        <w:tblLook w:val="04A0" w:firstRow="1" w:lastRow="0" w:firstColumn="1" w:lastColumn="0" w:noHBand="0" w:noVBand="1"/>
      </w:tblPr>
      <w:tblGrid>
        <w:gridCol w:w="1004"/>
        <w:gridCol w:w="1215"/>
        <w:gridCol w:w="15"/>
        <w:gridCol w:w="1341"/>
        <w:gridCol w:w="1230"/>
        <w:gridCol w:w="1433"/>
      </w:tblGrid>
      <w:tr w:rsidR="00DF3003" w14:paraId="63CE6D05" w14:textId="77777777" w:rsidTr="007F00EC">
        <w:trPr>
          <w:trHeight w:val="227"/>
          <w:jc w:val="center"/>
        </w:trPr>
        <w:tc>
          <w:tcPr>
            <w:tcW w:w="1004" w:type="dxa"/>
            <w:vMerge w:val="restart"/>
            <w:tcBorders>
              <w:top w:val="single" w:sz="4" w:space="0" w:color="auto"/>
            </w:tcBorders>
            <w:shd w:val="clear" w:color="auto" w:fill="auto"/>
            <w:noWrap/>
            <w:vAlign w:val="center"/>
            <w:hideMark/>
          </w:tcPr>
          <w:p w14:paraId="07EDF0AE" w14:textId="77777777" w:rsidR="00DF3003" w:rsidRPr="00FE69AA" w:rsidRDefault="00DF3003" w:rsidP="007F00EC">
            <w:pPr>
              <w:spacing w:after="0" w:line="240" w:lineRule="auto"/>
              <w:jc w:val="center"/>
              <w:rPr>
                <w:rFonts w:ascii="Arial Narrow" w:eastAsia="Times New Roman" w:hAnsi="Arial Narrow" w:cs="Times New Roman"/>
                <w:b/>
                <w:bCs/>
                <w:color w:val="000000"/>
                <w:sz w:val="20"/>
                <w:szCs w:val="18"/>
                <w:lang w:val="es-ES" w:eastAsia="es-ES"/>
              </w:rPr>
            </w:pPr>
            <w:r w:rsidRPr="00FE69AA">
              <w:rPr>
                <w:rFonts w:ascii="Arial Narrow" w:eastAsia="Times New Roman" w:hAnsi="Arial Narrow" w:cs="Times New Roman"/>
                <w:b/>
                <w:bCs/>
                <w:color w:val="000000"/>
                <w:sz w:val="20"/>
                <w:szCs w:val="18"/>
              </w:rPr>
              <w:t>Variables</w:t>
            </w:r>
          </w:p>
        </w:tc>
        <w:tc>
          <w:tcPr>
            <w:tcW w:w="2571" w:type="dxa"/>
            <w:gridSpan w:val="3"/>
            <w:tcBorders>
              <w:top w:val="single" w:sz="4" w:space="0" w:color="auto"/>
              <w:bottom w:val="single" w:sz="4" w:space="0" w:color="auto"/>
            </w:tcBorders>
            <w:shd w:val="clear" w:color="auto" w:fill="auto"/>
            <w:noWrap/>
            <w:vAlign w:val="center"/>
            <w:hideMark/>
          </w:tcPr>
          <w:p w14:paraId="4E37030D" w14:textId="77777777" w:rsidR="00DF3003" w:rsidRPr="00FE69AA" w:rsidRDefault="00DF3003" w:rsidP="007F00EC">
            <w:pPr>
              <w:spacing w:after="0" w:line="240" w:lineRule="auto"/>
              <w:jc w:val="center"/>
              <w:rPr>
                <w:rFonts w:ascii="Arial Narrow" w:eastAsia="Times New Roman" w:hAnsi="Arial Narrow" w:cs="Times New Roman"/>
                <w:b/>
                <w:bCs/>
                <w:color w:val="000000"/>
                <w:sz w:val="20"/>
                <w:szCs w:val="18"/>
              </w:rPr>
            </w:pPr>
            <w:r w:rsidRPr="00FE69AA">
              <w:rPr>
                <w:rFonts w:ascii="Arial Narrow" w:eastAsia="Times New Roman" w:hAnsi="Arial Narrow" w:cs="Times New Roman"/>
                <w:b/>
                <w:bCs/>
                <w:color w:val="000000"/>
                <w:sz w:val="20"/>
                <w:szCs w:val="18"/>
              </w:rPr>
              <w:t>Frecuencia</w:t>
            </w:r>
          </w:p>
        </w:tc>
        <w:tc>
          <w:tcPr>
            <w:tcW w:w="2663" w:type="dxa"/>
            <w:gridSpan w:val="2"/>
            <w:tcBorders>
              <w:top w:val="single" w:sz="4" w:space="0" w:color="auto"/>
              <w:bottom w:val="single" w:sz="4" w:space="0" w:color="auto"/>
            </w:tcBorders>
            <w:shd w:val="clear" w:color="auto" w:fill="auto"/>
            <w:noWrap/>
            <w:vAlign w:val="center"/>
            <w:hideMark/>
          </w:tcPr>
          <w:p w14:paraId="2F7CDA46" w14:textId="77777777" w:rsidR="00DF3003" w:rsidRPr="00FE69AA" w:rsidRDefault="00DF3003" w:rsidP="007F00EC">
            <w:pPr>
              <w:spacing w:after="0" w:line="240" w:lineRule="auto"/>
              <w:jc w:val="center"/>
              <w:rPr>
                <w:rFonts w:ascii="Arial Narrow" w:eastAsia="Times New Roman" w:hAnsi="Arial Narrow" w:cs="Times New Roman"/>
                <w:b/>
                <w:bCs/>
                <w:color w:val="000000"/>
                <w:sz w:val="20"/>
                <w:szCs w:val="18"/>
              </w:rPr>
            </w:pPr>
            <w:r w:rsidRPr="00FE69AA">
              <w:rPr>
                <w:rFonts w:ascii="Arial Narrow" w:eastAsia="Times New Roman" w:hAnsi="Arial Narrow" w:cs="Times New Roman"/>
                <w:b/>
                <w:bCs/>
                <w:color w:val="000000"/>
                <w:sz w:val="20"/>
                <w:szCs w:val="18"/>
              </w:rPr>
              <w:t>Porcentaje</w:t>
            </w:r>
          </w:p>
        </w:tc>
      </w:tr>
      <w:tr w:rsidR="00DF3003" w14:paraId="65090401" w14:textId="77777777" w:rsidTr="007F00EC">
        <w:trPr>
          <w:trHeight w:val="227"/>
          <w:jc w:val="center"/>
        </w:trPr>
        <w:tc>
          <w:tcPr>
            <w:tcW w:w="1004" w:type="dxa"/>
            <w:vMerge/>
            <w:tcBorders>
              <w:bottom w:val="single" w:sz="4" w:space="0" w:color="auto"/>
            </w:tcBorders>
            <w:shd w:val="clear" w:color="auto" w:fill="auto"/>
            <w:noWrap/>
            <w:vAlign w:val="center"/>
          </w:tcPr>
          <w:p w14:paraId="01393E80" w14:textId="77777777" w:rsidR="00DF3003" w:rsidRPr="00FE69AA" w:rsidRDefault="00DF3003" w:rsidP="007F00EC">
            <w:pPr>
              <w:spacing w:after="0" w:line="240" w:lineRule="auto"/>
              <w:jc w:val="center"/>
              <w:rPr>
                <w:rFonts w:ascii="Arial Narrow" w:eastAsia="Times New Roman" w:hAnsi="Arial Narrow" w:cs="Times New Roman"/>
                <w:b/>
                <w:bCs/>
                <w:color w:val="000000"/>
                <w:sz w:val="20"/>
                <w:szCs w:val="18"/>
              </w:rPr>
            </w:pPr>
          </w:p>
        </w:tc>
        <w:tc>
          <w:tcPr>
            <w:tcW w:w="1215" w:type="dxa"/>
            <w:tcBorders>
              <w:top w:val="single" w:sz="4" w:space="0" w:color="auto"/>
              <w:bottom w:val="single" w:sz="4" w:space="0" w:color="auto"/>
            </w:tcBorders>
            <w:shd w:val="clear" w:color="auto" w:fill="auto"/>
            <w:noWrap/>
            <w:vAlign w:val="center"/>
          </w:tcPr>
          <w:p w14:paraId="0C1F5446" w14:textId="77777777" w:rsidR="00DF3003" w:rsidRPr="00FE69AA" w:rsidRDefault="00DF3003"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M. Ambiente</w:t>
            </w:r>
          </w:p>
        </w:tc>
        <w:tc>
          <w:tcPr>
            <w:tcW w:w="1356" w:type="dxa"/>
            <w:gridSpan w:val="2"/>
            <w:tcBorders>
              <w:top w:val="single" w:sz="4" w:space="0" w:color="auto"/>
              <w:bottom w:val="single" w:sz="4" w:space="0" w:color="auto"/>
            </w:tcBorders>
            <w:shd w:val="clear" w:color="auto" w:fill="auto"/>
            <w:vAlign w:val="center"/>
          </w:tcPr>
          <w:p w14:paraId="28F0B582" w14:textId="77777777" w:rsidR="00DF3003" w:rsidRPr="00FE69AA" w:rsidRDefault="00DF3003"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Agroindustrias</w:t>
            </w:r>
          </w:p>
        </w:tc>
        <w:tc>
          <w:tcPr>
            <w:tcW w:w="1230" w:type="dxa"/>
            <w:tcBorders>
              <w:top w:val="single" w:sz="4" w:space="0" w:color="auto"/>
              <w:bottom w:val="single" w:sz="4" w:space="0" w:color="auto"/>
            </w:tcBorders>
            <w:shd w:val="clear" w:color="auto" w:fill="auto"/>
            <w:noWrap/>
            <w:vAlign w:val="center"/>
          </w:tcPr>
          <w:p w14:paraId="3570046C" w14:textId="77777777" w:rsidR="00DF3003" w:rsidRPr="00FE69AA" w:rsidRDefault="00DF3003"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M. Ambiente</w:t>
            </w:r>
          </w:p>
        </w:tc>
        <w:tc>
          <w:tcPr>
            <w:tcW w:w="1433" w:type="dxa"/>
            <w:tcBorders>
              <w:top w:val="single" w:sz="4" w:space="0" w:color="auto"/>
              <w:bottom w:val="single" w:sz="4" w:space="0" w:color="auto"/>
            </w:tcBorders>
            <w:shd w:val="clear" w:color="auto" w:fill="auto"/>
            <w:vAlign w:val="center"/>
          </w:tcPr>
          <w:p w14:paraId="25666A4E" w14:textId="77777777" w:rsidR="00DF3003" w:rsidRPr="00FE69AA" w:rsidRDefault="00DF3003"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Agroindustrias</w:t>
            </w:r>
          </w:p>
        </w:tc>
      </w:tr>
      <w:tr w:rsidR="00DF3003" w14:paraId="2B24F7CE" w14:textId="77777777" w:rsidTr="007F00EC">
        <w:trPr>
          <w:trHeight w:val="227"/>
          <w:jc w:val="center"/>
        </w:trPr>
        <w:tc>
          <w:tcPr>
            <w:tcW w:w="1004" w:type="dxa"/>
            <w:tcBorders>
              <w:top w:val="single" w:sz="4" w:space="0" w:color="auto"/>
            </w:tcBorders>
            <w:shd w:val="clear" w:color="auto" w:fill="auto"/>
            <w:noWrap/>
            <w:vAlign w:val="bottom"/>
            <w:hideMark/>
          </w:tcPr>
          <w:p w14:paraId="25EB9A1E" w14:textId="214EF37E" w:rsidR="00DF3003" w:rsidRDefault="007A7FFD"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lastRenderedPageBreak/>
              <w:t>0.98</w:t>
            </w:r>
            <w:r w:rsidR="00DF3003">
              <w:rPr>
                <w:rFonts w:ascii="Arial Narrow" w:eastAsia="Times New Roman" w:hAnsi="Arial Narrow" w:cs="Times New Roman"/>
                <w:color w:val="000000"/>
                <w:sz w:val="20"/>
                <w:szCs w:val="18"/>
              </w:rPr>
              <w:t xml:space="preserve"> ml</w:t>
            </w:r>
          </w:p>
        </w:tc>
        <w:tc>
          <w:tcPr>
            <w:tcW w:w="1230" w:type="dxa"/>
            <w:gridSpan w:val="2"/>
            <w:tcBorders>
              <w:top w:val="single" w:sz="4" w:space="0" w:color="auto"/>
            </w:tcBorders>
            <w:shd w:val="clear" w:color="auto" w:fill="auto"/>
            <w:noWrap/>
            <w:vAlign w:val="bottom"/>
            <w:hideMark/>
          </w:tcPr>
          <w:p w14:paraId="5A843F1F" w14:textId="77777777" w:rsidR="00DF3003" w:rsidRDefault="00DF3003"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0</w:t>
            </w:r>
          </w:p>
        </w:tc>
        <w:tc>
          <w:tcPr>
            <w:tcW w:w="1341" w:type="dxa"/>
            <w:tcBorders>
              <w:top w:val="single" w:sz="4" w:space="0" w:color="auto"/>
            </w:tcBorders>
            <w:shd w:val="clear" w:color="auto" w:fill="auto"/>
            <w:noWrap/>
            <w:vAlign w:val="bottom"/>
            <w:hideMark/>
          </w:tcPr>
          <w:p w14:paraId="1E767A61" w14:textId="77777777" w:rsidR="00DF3003" w:rsidRDefault="00DF3003"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0</w:t>
            </w:r>
          </w:p>
        </w:tc>
        <w:tc>
          <w:tcPr>
            <w:tcW w:w="1230" w:type="dxa"/>
            <w:tcBorders>
              <w:top w:val="single" w:sz="4" w:space="0" w:color="auto"/>
            </w:tcBorders>
            <w:shd w:val="clear" w:color="auto" w:fill="auto"/>
            <w:noWrap/>
            <w:vAlign w:val="bottom"/>
            <w:hideMark/>
          </w:tcPr>
          <w:p w14:paraId="4241A737" w14:textId="77777777" w:rsidR="00DF3003" w:rsidRDefault="00DF3003"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0.00</w:t>
            </w:r>
          </w:p>
        </w:tc>
        <w:tc>
          <w:tcPr>
            <w:tcW w:w="1433" w:type="dxa"/>
            <w:tcBorders>
              <w:top w:val="single" w:sz="4" w:space="0" w:color="auto"/>
            </w:tcBorders>
            <w:shd w:val="clear" w:color="auto" w:fill="auto"/>
            <w:noWrap/>
            <w:vAlign w:val="bottom"/>
            <w:hideMark/>
          </w:tcPr>
          <w:p w14:paraId="6BB8C9DC" w14:textId="77777777" w:rsidR="00DF3003" w:rsidRDefault="00DF3003"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0.00</w:t>
            </w:r>
          </w:p>
        </w:tc>
      </w:tr>
      <w:tr w:rsidR="00DF3003" w14:paraId="4EF87567" w14:textId="77777777" w:rsidTr="007F00EC">
        <w:trPr>
          <w:trHeight w:val="227"/>
          <w:jc w:val="center"/>
        </w:trPr>
        <w:tc>
          <w:tcPr>
            <w:tcW w:w="1004" w:type="dxa"/>
            <w:shd w:val="clear" w:color="auto" w:fill="auto"/>
            <w:noWrap/>
            <w:vAlign w:val="bottom"/>
            <w:hideMark/>
          </w:tcPr>
          <w:p w14:paraId="44436F7B" w14:textId="1396B68F" w:rsidR="00DF3003" w:rsidRDefault="007A7FFD"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10.76</w:t>
            </w:r>
            <w:r w:rsidR="00DF3003">
              <w:rPr>
                <w:rFonts w:ascii="Arial Narrow" w:eastAsia="Times New Roman" w:hAnsi="Arial Narrow" w:cs="Times New Roman"/>
                <w:color w:val="000000"/>
                <w:sz w:val="20"/>
                <w:szCs w:val="18"/>
              </w:rPr>
              <w:t xml:space="preserve"> ml</w:t>
            </w:r>
          </w:p>
        </w:tc>
        <w:tc>
          <w:tcPr>
            <w:tcW w:w="1230" w:type="dxa"/>
            <w:gridSpan w:val="2"/>
            <w:shd w:val="clear" w:color="auto" w:fill="auto"/>
            <w:noWrap/>
            <w:vAlign w:val="bottom"/>
            <w:hideMark/>
          </w:tcPr>
          <w:p w14:paraId="6A188CC2" w14:textId="77777777" w:rsidR="00DF3003" w:rsidRDefault="00DF3003"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22</w:t>
            </w:r>
          </w:p>
        </w:tc>
        <w:tc>
          <w:tcPr>
            <w:tcW w:w="1341" w:type="dxa"/>
            <w:shd w:val="clear" w:color="auto" w:fill="auto"/>
            <w:noWrap/>
            <w:vAlign w:val="bottom"/>
            <w:hideMark/>
          </w:tcPr>
          <w:p w14:paraId="4ADCEED4" w14:textId="77777777" w:rsidR="00DF3003" w:rsidRDefault="00DF3003"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22</w:t>
            </w:r>
          </w:p>
        </w:tc>
        <w:tc>
          <w:tcPr>
            <w:tcW w:w="1230" w:type="dxa"/>
            <w:shd w:val="clear" w:color="auto" w:fill="auto"/>
            <w:noWrap/>
            <w:vAlign w:val="bottom"/>
            <w:hideMark/>
          </w:tcPr>
          <w:p w14:paraId="18C31AA0" w14:textId="77777777" w:rsidR="00DF3003" w:rsidRDefault="00DF3003"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100.00</w:t>
            </w:r>
          </w:p>
        </w:tc>
        <w:tc>
          <w:tcPr>
            <w:tcW w:w="1433" w:type="dxa"/>
            <w:shd w:val="clear" w:color="auto" w:fill="auto"/>
            <w:noWrap/>
            <w:vAlign w:val="bottom"/>
            <w:hideMark/>
          </w:tcPr>
          <w:p w14:paraId="0FE13D47" w14:textId="77777777" w:rsidR="00DF3003" w:rsidRDefault="00DF3003"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100.00</w:t>
            </w:r>
          </w:p>
        </w:tc>
      </w:tr>
      <w:tr w:rsidR="00DF3003" w14:paraId="3367C8AA" w14:textId="77777777" w:rsidTr="007F00EC">
        <w:trPr>
          <w:trHeight w:val="227"/>
          <w:jc w:val="center"/>
        </w:trPr>
        <w:tc>
          <w:tcPr>
            <w:tcW w:w="1004" w:type="dxa"/>
            <w:tcBorders>
              <w:bottom w:val="single" w:sz="4" w:space="0" w:color="auto"/>
            </w:tcBorders>
            <w:shd w:val="clear" w:color="auto" w:fill="auto"/>
            <w:noWrap/>
            <w:vAlign w:val="bottom"/>
            <w:hideMark/>
          </w:tcPr>
          <w:p w14:paraId="2CBCDB7E" w14:textId="77777777" w:rsidR="00DF3003" w:rsidRPr="003D772D" w:rsidRDefault="00DF3003" w:rsidP="007F00EC">
            <w:pPr>
              <w:spacing w:after="0" w:line="240" w:lineRule="auto"/>
              <w:jc w:val="center"/>
              <w:rPr>
                <w:rFonts w:ascii="Arial Narrow" w:eastAsia="Times New Roman" w:hAnsi="Arial Narrow" w:cs="Times New Roman"/>
                <w:b/>
                <w:bCs/>
                <w:color w:val="000000"/>
                <w:sz w:val="20"/>
                <w:szCs w:val="18"/>
              </w:rPr>
            </w:pPr>
            <w:r w:rsidRPr="003D772D">
              <w:rPr>
                <w:rFonts w:ascii="Arial Narrow" w:eastAsia="Times New Roman" w:hAnsi="Arial Narrow" w:cs="Times New Roman"/>
                <w:b/>
                <w:bCs/>
                <w:color w:val="000000"/>
                <w:sz w:val="20"/>
                <w:szCs w:val="18"/>
              </w:rPr>
              <w:t>Total</w:t>
            </w:r>
          </w:p>
        </w:tc>
        <w:tc>
          <w:tcPr>
            <w:tcW w:w="1230" w:type="dxa"/>
            <w:gridSpan w:val="2"/>
            <w:tcBorders>
              <w:bottom w:val="single" w:sz="4" w:space="0" w:color="auto"/>
            </w:tcBorders>
            <w:shd w:val="clear" w:color="auto" w:fill="auto"/>
            <w:noWrap/>
            <w:vAlign w:val="bottom"/>
            <w:hideMark/>
          </w:tcPr>
          <w:p w14:paraId="643D39E7" w14:textId="77777777" w:rsidR="00DF3003" w:rsidRDefault="00DF3003"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22</w:t>
            </w:r>
          </w:p>
        </w:tc>
        <w:tc>
          <w:tcPr>
            <w:tcW w:w="1341" w:type="dxa"/>
            <w:tcBorders>
              <w:bottom w:val="single" w:sz="4" w:space="0" w:color="auto"/>
            </w:tcBorders>
            <w:shd w:val="clear" w:color="auto" w:fill="auto"/>
            <w:noWrap/>
            <w:vAlign w:val="bottom"/>
            <w:hideMark/>
          </w:tcPr>
          <w:p w14:paraId="1BE3378D" w14:textId="77777777" w:rsidR="00DF3003" w:rsidRDefault="00DF3003"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22</w:t>
            </w:r>
          </w:p>
        </w:tc>
        <w:tc>
          <w:tcPr>
            <w:tcW w:w="1230" w:type="dxa"/>
            <w:tcBorders>
              <w:bottom w:val="single" w:sz="4" w:space="0" w:color="auto"/>
            </w:tcBorders>
            <w:shd w:val="clear" w:color="auto" w:fill="auto"/>
            <w:noWrap/>
            <w:vAlign w:val="bottom"/>
            <w:hideMark/>
          </w:tcPr>
          <w:p w14:paraId="76D6CD86" w14:textId="77777777" w:rsidR="00DF3003" w:rsidRDefault="00DF3003"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100.00</w:t>
            </w:r>
          </w:p>
        </w:tc>
        <w:tc>
          <w:tcPr>
            <w:tcW w:w="1433" w:type="dxa"/>
            <w:tcBorders>
              <w:bottom w:val="single" w:sz="4" w:space="0" w:color="auto"/>
            </w:tcBorders>
            <w:shd w:val="clear" w:color="auto" w:fill="auto"/>
            <w:noWrap/>
            <w:vAlign w:val="bottom"/>
            <w:hideMark/>
          </w:tcPr>
          <w:p w14:paraId="29977B74" w14:textId="77777777" w:rsidR="00DF3003" w:rsidRDefault="00DF3003"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100.00</w:t>
            </w:r>
          </w:p>
        </w:tc>
      </w:tr>
    </w:tbl>
    <w:p w14:paraId="380EDB14" w14:textId="77777777" w:rsidR="007A7FFD" w:rsidRDefault="007A7FFD" w:rsidP="007A7FFD">
      <w:pPr>
        <w:keepNext/>
        <w:spacing w:before="240" w:after="0"/>
        <w:jc w:val="center"/>
      </w:pPr>
      <w:r>
        <w:rPr>
          <w:noProof/>
          <w:lang w:eastAsia="es-EC"/>
        </w:rPr>
        <w:drawing>
          <wp:inline distT="0" distB="0" distL="0" distR="0" wp14:anchorId="2ADD3FEC" wp14:editId="70E475A9">
            <wp:extent cx="2771775" cy="1800000"/>
            <wp:effectExtent l="0" t="0" r="9525" b="1016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CF76B54" w14:textId="214BF0B0" w:rsidR="007A7FFD" w:rsidRDefault="007A7FFD" w:rsidP="007A7FFD">
      <w:pPr>
        <w:pStyle w:val="Descripcin"/>
        <w:jc w:val="center"/>
        <w:rPr>
          <w:rFonts w:ascii="Arial Narrow" w:hAnsi="Arial Narrow"/>
          <w:i w:val="0"/>
          <w:iCs w:val="0"/>
          <w:color w:val="0D0D0D" w:themeColor="text1" w:themeTint="F2"/>
          <w:sz w:val="20"/>
          <w:szCs w:val="20"/>
        </w:rPr>
      </w:pPr>
      <w:r w:rsidRPr="006A6746">
        <w:rPr>
          <w:rFonts w:ascii="Arial Narrow" w:hAnsi="Arial Narrow"/>
          <w:b/>
          <w:bCs/>
          <w:i w:val="0"/>
          <w:iCs w:val="0"/>
          <w:color w:val="0D0D0D" w:themeColor="text1" w:themeTint="F2"/>
          <w:sz w:val="20"/>
          <w:szCs w:val="20"/>
        </w:rPr>
        <w:t xml:space="preserve">Figura </w:t>
      </w:r>
      <w:r w:rsidRPr="006A6746">
        <w:rPr>
          <w:rFonts w:ascii="Arial Narrow" w:hAnsi="Arial Narrow"/>
          <w:b/>
          <w:bCs/>
          <w:i w:val="0"/>
          <w:iCs w:val="0"/>
          <w:color w:val="0D0D0D" w:themeColor="text1" w:themeTint="F2"/>
          <w:sz w:val="20"/>
          <w:szCs w:val="20"/>
        </w:rPr>
        <w:fldChar w:fldCharType="begin"/>
      </w:r>
      <w:r w:rsidRPr="006A6746">
        <w:rPr>
          <w:rFonts w:ascii="Arial Narrow" w:hAnsi="Arial Narrow"/>
          <w:b/>
          <w:bCs/>
          <w:i w:val="0"/>
          <w:iCs w:val="0"/>
          <w:color w:val="0D0D0D" w:themeColor="text1" w:themeTint="F2"/>
          <w:sz w:val="20"/>
          <w:szCs w:val="20"/>
        </w:rPr>
        <w:instrText xml:space="preserve"> SEQ Figura \* ARABIC </w:instrText>
      </w:r>
      <w:r w:rsidRPr="006A6746">
        <w:rPr>
          <w:rFonts w:ascii="Arial Narrow" w:hAnsi="Arial Narrow"/>
          <w:b/>
          <w:bCs/>
          <w:i w:val="0"/>
          <w:iCs w:val="0"/>
          <w:color w:val="0D0D0D" w:themeColor="text1" w:themeTint="F2"/>
          <w:sz w:val="20"/>
          <w:szCs w:val="20"/>
        </w:rPr>
        <w:fldChar w:fldCharType="separate"/>
      </w:r>
      <w:r>
        <w:rPr>
          <w:rFonts w:ascii="Arial Narrow" w:hAnsi="Arial Narrow"/>
          <w:b/>
          <w:bCs/>
          <w:i w:val="0"/>
          <w:iCs w:val="0"/>
          <w:noProof/>
          <w:color w:val="0D0D0D" w:themeColor="text1" w:themeTint="F2"/>
          <w:sz w:val="20"/>
          <w:szCs w:val="20"/>
        </w:rPr>
        <w:t>5</w:t>
      </w:r>
      <w:r w:rsidRPr="006A6746">
        <w:rPr>
          <w:rFonts w:ascii="Arial Narrow" w:hAnsi="Arial Narrow"/>
          <w:b/>
          <w:bCs/>
          <w:i w:val="0"/>
          <w:iCs w:val="0"/>
          <w:color w:val="0D0D0D" w:themeColor="text1" w:themeTint="F2"/>
          <w:sz w:val="20"/>
          <w:szCs w:val="20"/>
        </w:rPr>
        <w:fldChar w:fldCharType="end"/>
      </w:r>
      <w:r w:rsidRPr="006A6746">
        <w:rPr>
          <w:rFonts w:ascii="Arial Narrow" w:hAnsi="Arial Narrow"/>
          <w:b/>
          <w:bCs/>
          <w:i w:val="0"/>
          <w:iCs w:val="0"/>
          <w:color w:val="0D0D0D" w:themeColor="text1" w:themeTint="F2"/>
          <w:sz w:val="20"/>
          <w:szCs w:val="20"/>
        </w:rPr>
        <w:t>.</w:t>
      </w:r>
      <w:r w:rsidRPr="006A6746">
        <w:rPr>
          <w:rFonts w:ascii="Arial Narrow" w:hAnsi="Arial Narrow"/>
          <w:i w:val="0"/>
          <w:iCs w:val="0"/>
          <w:color w:val="0D0D0D" w:themeColor="text1" w:themeTint="F2"/>
          <w:sz w:val="20"/>
          <w:szCs w:val="20"/>
        </w:rPr>
        <w:t xml:space="preserve"> </w:t>
      </w:r>
      <w:r>
        <w:rPr>
          <w:rFonts w:ascii="Arial Narrow" w:hAnsi="Arial Narrow"/>
          <w:i w:val="0"/>
          <w:iCs w:val="0"/>
          <w:color w:val="0D0D0D" w:themeColor="text1" w:themeTint="F2"/>
          <w:sz w:val="20"/>
          <w:szCs w:val="20"/>
        </w:rPr>
        <w:t>P</w:t>
      </w:r>
      <w:r w:rsidRPr="0068714E">
        <w:rPr>
          <w:rFonts w:ascii="Arial Narrow" w:hAnsi="Arial Narrow"/>
          <w:i w:val="0"/>
          <w:iCs w:val="0"/>
          <w:color w:val="0D0D0D" w:themeColor="text1" w:themeTint="F2"/>
          <w:sz w:val="20"/>
          <w:szCs w:val="20"/>
        </w:rPr>
        <w:t xml:space="preserve">orcentaje de aciertos en la pregunta </w:t>
      </w:r>
      <w:r>
        <w:rPr>
          <w:rFonts w:ascii="Arial Narrow" w:hAnsi="Arial Narrow"/>
          <w:i w:val="0"/>
          <w:iCs w:val="0"/>
          <w:color w:val="0D0D0D" w:themeColor="text1" w:themeTint="F2"/>
          <w:sz w:val="20"/>
          <w:szCs w:val="20"/>
        </w:rPr>
        <w:t>4</w:t>
      </w:r>
      <w:r w:rsidRPr="0068714E">
        <w:rPr>
          <w:rFonts w:ascii="Arial Narrow" w:hAnsi="Arial Narrow"/>
          <w:i w:val="0"/>
          <w:iCs w:val="0"/>
          <w:color w:val="0D0D0D" w:themeColor="text1" w:themeTint="F2"/>
          <w:sz w:val="20"/>
          <w:szCs w:val="20"/>
        </w:rPr>
        <w:t xml:space="preserve"> de</w:t>
      </w:r>
      <w:r>
        <w:rPr>
          <w:rFonts w:ascii="Arial Narrow" w:hAnsi="Arial Narrow"/>
          <w:i w:val="0"/>
          <w:iCs w:val="0"/>
          <w:color w:val="0D0D0D" w:themeColor="text1" w:themeTint="F2"/>
          <w:sz w:val="20"/>
          <w:szCs w:val="20"/>
        </w:rPr>
        <w:t>l instrumento de</w:t>
      </w:r>
      <w:r w:rsidRPr="0068714E">
        <w:rPr>
          <w:rFonts w:ascii="Arial Narrow" w:hAnsi="Arial Narrow"/>
          <w:i w:val="0"/>
          <w:iCs w:val="0"/>
          <w:color w:val="0D0D0D" w:themeColor="text1" w:themeTint="F2"/>
          <w:sz w:val="20"/>
          <w:szCs w:val="20"/>
        </w:rPr>
        <w:t xml:space="preserve"> evaluación.</w:t>
      </w:r>
    </w:p>
    <w:p w14:paraId="6C3F47EA" w14:textId="77777777" w:rsidR="005802FF" w:rsidRDefault="005802FF" w:rsidP="009B6762">
      <w:r>
        <w:t xml:space="preserve">Referente </w:t>
      </w:r>
      <w:r w:rsidRPr="00DF3003">
        <w:t>al pH de la valoración ácido-base</w:t>
      </w:r>
      <w:r>
        <w:t>, el 100% de los estudiantes en ambos grupos respondió correctamente, como se muestra en la tabla 4 y figura 5.</w:t>
      </w:r>
    </w:p>
    <w:p w14:paraId="531CB773" w14:textId="5D35F5DC" w:rsidR="00297360" w:rsidRPr="005802FF" w:rsidRDefault="005802FF" w:rsidP="009B6762">
      <w:pPr>
        <w:pStyle w:val="Prrafodelista"/>
        <w:numPr>
          <w:ilvl w:val="0"/>
          <w:numId w:val="6"/>
        </w:numPr>
        <w:spacing w:after="0" w:line="360" w:lineRule="auto"/>
        <w:rPr>
          <w:rFonts w:cs="Arial"/>
        </w:rPr>
      </w:pPr>
      <w:r w:rsidRPr="005802FF">
        <w:rPr>
          <w:rFonts w:ascii="Arial" w:hAnsi="Arial" w:cs="Arial"/>
          <w:sz w:val="24"/>
          <w:szCs w:val="24"/>
        </w:rPr>
        <w:t>En la escala de pH, ¿Cuál de los siguientes valores caracterizan sustancias ácidas?</w:t>
      </w:r>
    </w:p>
    <w:p w14:paraId="5FE5BECD" w14:textId="69292C71" w:rsidR="005802FF" w:rsidRPr="0068714E" w:rsidRDefault="005802FF" w:rsidP="005802FF">
      <w:pPr>
        <w:pStyle w:val="Descripcin"/>
        <w:keepNext/>
        <w:spacing w:after="120"/>
        <w:ind w:left="360"/>
        <w:jc w:val="center"/>
        <w:rPr>
          <w:rFonts w:ascii="Arial Narrow" w:hAnsi="Arial Narrow"/>
          <w:i w:val="0"/>
          <w:iCs w:val="0"/>
          <w:color w:val="0D0D0D" w:themeColor="text1" w:themeTint="F2"/>
          <w:sz w:val="20"/>
          <w:szCs w:val="20"/>
        </w:rPr>
      </w:pPr>
      <w:r w:rsidRPr="004064D4">
        <w:rPr>
          <w:rFonts w:ascii="Arial Narrow" w:hAnsi="Arial Narrow"/>
          <w:b/>
          <w:bCs/>
          <w:i w:val="0"/>
          <w:iCs w:val="0"/>
          <w:color w:val="0D0D0D" w:themeColor="text1" w:themeTint="F2"/>
          <w:sz w:val="20"/>
          <w:szCs w:val="20"/>
        </w:rPr>
        <w:t xml:space="preserve">Tabla </w:t>
      </w:r>
      <w:r w:rsidRPr="004064D4">
        <w:rPr>
          <w:rFonts w:ascii="Arial Narrow" w:hAnsi="Arial Narrow"/>
          <w:b/>
          <w:bCs/>
          <w:i w:val="0"/>
          <w:iCs w:val="0"/>
          <w:color w:val="0D0D0D" w:themeColor="text1" w:themeTint="F2"/>
          <w:sz w:val="20"/>
          <w:szCs w:val="20"/>
        </w:rPr>
        <w:fldChar w:fldCharType="begin"/>
      </w:r>
      <w:r w:rsidRPr="004064D4">
        <w:rPr>
          <w:rFonts w:ascii="Arial Narrow" w:hAnsi="Arial Narrow"/>
          <w:b/>
          <w:bCs/>
          <w:i w:val="0"/>
          <w:iCs w:val="0"/>
          <w:color w:val="0D0D0D" w:themeColor="text1" w:themeTint="F2"/>
          <w:sz w:val="20"/>
          <w:szCs w:val="20"/>
        </w:rPr>
        <w:instrText xml:space="preserve"> SEQ Tabla \* ARABIC </w:instrText>
      </w:r>
      <w:r w:rsidRPr="004064D4">
        <w:rPr>
          <w:rFonts w:ascii="Arial Narrow" w:hAnsi="Arial Narrow"/>
          <w:b/>
          <w:bCs/>
          <w:i w:val="0"/>
          <w:iCs w:val="0"/>
          <w:color w:val="0D0D0D" w:themeColor="text1" w:themeTint="F2"/>
          <w:sz w:val="20"/>
          <w:szCs w:val="20"/>
        </w:rPr>
        <w:fldChar w:fldCharType="separate"/>
      </w:r>
      <w:r>
        <w:rPr>
          <w:rFonts w:ascii="Arial Narrow" w:hAnsi="Arial Narrow"/>
          <w:b/>
          <w:bCs/>
          <w:i w:val="0"/>
          <w:iCs w:val="0"/>
          <w:noProof/>
          <w:color w:val="0D0D0D" w:themeColor="text1" w:themeTint="F2"/>
          <w:sz w:val="20"/>
          <w:szCs w:val="20"/>
        </w:rPr>
        <w:t>5</w:t>
      </w:r>
      <w:r w:rsidRPr="004064D4">
        <w:rPr>
          <w:rFonts w:ascii="Arial Narrow" w:hAnsi="Arial Narrow"/>
          <w:b/>
          <w:bCs/>
          <w:i w:val="0"/>
          <w:iCs w:val="0"/>
          <w:color w:val="0D0D0D" w:themeColor="text1" w:themeTint="F2"/>
          <w:sz w:val="20"/>
          <w:szCs w:val="20"/>
        </w:rPr>
        <w:fldChar w:fldCharType="end"/>
      </w:r>
      <w:r>
        <w:rPr>
          <w:rFonts w:ascii="Arial Narrow" w:hAnsi="Arial Narrow"/>
          <w:i w:val="0"/>
          <w:iCs w:val="0"/>
          <w:color w:val="0D0D0D" w:themeColor="text1" w:themeTint="F2"/>
          <w:sz w:val="20"/>
          <w:szCs w:val="20"/>
        </w:rPr>
        <w:t xml:space="preserve">. </w:t>
      </w:r>
      <w:r w:rsidRPr="0068714E">
        <w:rPr>
          <w:rFonts w:ascii="Arial Narrow" w:hAnsi="Arial Narrow"/>
          <w:i w:val="0"/>
          <w:iCs w:val="0"/>
          <w:color w:val="0D0D0D" w:themeColor="text1" w:themeTint="F2"/>
          <w:sz w:val="20"/>
          <w:szCs w:val="20"/>
        </w:rPr>
        <w:t>Frecuencia y porcentaje de</w:t>
      </w:r>
      <w:r w:rsidR="00703487">
        <w:rPr>
          <w:rFonts w:ascii="Arial Narrow" w:hAnsi="Arial Narrow"/>
          <w:i w:val="0"/>
          <w:iCs w:val="0"/>
          <w:color w:val="0D0D0D" w:themeColor="text1" w:themeTint="F2"/>
          <w:sz w:val="20"/>
          <w:szCs w:val="20"/>
        </w:rPr>
        <w:t xml:space="preserve"> respuestas</w:t>
      </w:r>
      <w:r w:rsidRPr="0068714E">
        <w:rPr>
          <w:rFonts w:ascii="Arial Narrow" w:hAnsi="Arial Narrow"/>
          <w:i w:val="0"/>
          <w:iCs w:val="0"/>
          <w:color w:val="0D0D0D" w:themeColor="text1" w:themeTint="F2"/>
          <w:sz w:val="20"/>
          <w:szCs w:val="20"/>
        </w:rPr>
        <w:t xml:space="preserve"> en la pregunta</w:t>
      </w:r>
      <w:r>
        <w:rPr>
          <w:rFonts w:ascii="Arial Narrow" w:hAnsi="Arial Narrow"/>
          <w:i w:val="0"/>
          <w:iCs w:val="0"/>
          <w:color w:val="0D0D0D" w:themeColor="text1" w:themeTint="F2"/>
          <w:sz w:val="20"/>
          <w:szCs w:val="20"/>
        </w:rPr>
        <w:t xml:space="preserve"> 5</w:t>
      </w:r>
      <w:r w:rsidRPr="0068714E">
        <w:rPr>
          <w:rFonts w:ascii="Arial Narrow" w:hAnsi="Arial Narrow"/>
          <w:i w:val="0"/>
          <w:iCs w:val="0"/>
          <w:color w:val="0D0D0D" w:themeColor="text1" w:themeTint="F2"/>
          <w:sz w:val="20"/>
          <w:szCs w:val="20"/>
        </w:rPr>
        <w:t xml:space="preserve"> de la evaluación.</w:t>
      </w:r>
    </w:p>
    <w:tbl>
      <w:tblPr>
        <w:tblW w:w="6238" w:type="dxa"/>
        <w:jc w:val="center"/>
        <w:tblCellMar>
          <w:left w:w="70" w:type="dxa"/>
          <w:right w:w="70" w:type="dxa"/>
        </w:tblCellMar>
        <w:tblLook w:val="04A0" w:firstRow="1" w:lastRow="0" w:firstColumn="1" w:lastColumn="0" w:noHBand="0" w:noVBand="1"/>
      </w:tblPr>
      <w:tblGrid>
        <w:gridCol w:w="1004"/>
        <w:gridCol w:w="1215"/>
        <w:gridCol w:w="15"/>
        <w:gridCol w:w="1341"/>
        <w:gridCol w:w="1230"/>
        <w:gridCol w:w="1433"/>
      </w:tblGrid>
      <w:tr w:rsidR="005802FF" w14:paraId="3A1C7C80" w14:textId="77777777" w:rsidTr="007F00EC">
        <w:trPr>
          <w:trHeight w:val="227"/>
          <w:jc w:val="center"/>
        </w:trPr>
        <w:tc>
          <w:tcPr>
            <w:tcW w:w="1004" w:type="dxa"/>
            <w:vMerge w:val="restart"/>
            <w:tcBorders>
              <w:top w:val="single" w:sz="4" w:space="0" w:color="auto"/>
            </w:tcBorders>
            <w:shd w:val="clear" w:color="auto" w:fill="auto"/>
            <w:noWrap/>
            <w:vAlign w:val="center"/>
            <w:hideMark/>
          </w:tcPr>
          <w:p w14:paraId="0BD5A6DA" w14:textId="77777777" w:rsidR="005802FF" w:rsidRPr="00FE69AA" w:rsidRDefault="005802FF" w:rsidP="007F00EC">
            <w:pPr>
              <w:spacing w:after="0" w:line="240" w:lineRule="auto"/>
              <w:jc w:val="center"/>
              <w:rPr>
                <w:rFonts w:ascii="Arial Narrow" w:eastAsia="Times New Roman" w:hAnsi="Arial Narrow" w:cs="Times New Roman"/>
                <w:b/>
                <w:bCs/>
                <w:color w:val="000000"/>
                <w:sz w:val="20"/>
                <w:szCs w:val="18"/>
                <w:lang w:val="es-ES" w:eastAsia="es-ES"/>
              </w:rPr>
            </w:pPr>
            <w:r w:rsidRPr="00FE69AA">
              <w:rPr>
                <w:rFonts w:ascii="Arial Narrow" w:eastAsia="Times New Roman" w:hAnsi="Arial Narrow" w:cs="Times New Roman"/>
                <w:b/>
                <w:bCs/>
                <w:color w:val="000000"/>
                <w:sz w:val="20"/>
                <w:szCs w:val="18"/>
              </w:rPr>
              <w:t>Variables</w:t>
            </w:r>
          </w:p>
        </w:tc>
        <w:tc>
          <w:tcPr>
            <w:tcW w:w="2571" w:type="dxa"/>
            <w:gridSpan w:val="3"/>
            <w:tcBorders>
              <w:top w:val="single" w:sz="4" w:space="0" w:color="auto"/>
              <w:bottom w:val="single" w:sz="4" w:space="0" w:color="auto"/>
            </w:tcBorders>
            <w:shd w:val="clear" w:color="auto" w:fill="auto"/>
            <w:noWrap/>
            <w:vAlign w:val="center"/>
            <w:hideMark/>
          </w:tcPr>
          <w:p w14:paraId="1E6EADA6" w14:textId="77777777" w:rsidR="005802FF" w:rsidRPr="00FE69AA" w:rsidRDefault="005802FF" w:rsidP="007F00EC">
            <w:pPr>
              <w:spacing w:after="0" w:line="240" w:lineRule="auto"/>
              <w:jc w:val="center"/>
              <w:rPr>
                <w:rFonts w:ascii="Arial Narrow" w:eastAsia="Times New Roman" w:hAnsi="Arial Narrow" w:cs="Times New Roman"/>
                <w:b/>
                <w:bCs/>
                <w:color w:val="000000"/>
                <w:sz w:val="20"/>
                <w:szCs w:val="18"/>
              </w:rPr>
            </w:pPr>
            <w:r w:rsidRPr="00FE69AA">
              <w:rPr>
                <w:rFonts w:ascii="Arial Narrow" w:eastAsia="Times New Roman" w:hAnsi="Arial Narrow" w:cs="Times New Roman"/>
                <w:b/>
                <w:bCs/>
                <w:color w:val="000000"/>
                <w:sz w:val="20"/>
                <w:szCs w:val="18"/>
              </w:rPr>
              <w:t>Frecuencia</w:t>
            </w:r>
          </w:p>
        </w:tc>
        <w:tc>
          <w:tcPr>
            <w:tcW w:w="2663" w:type="dxa"/>
            <w:gridSpan w:val="2"/>
            <w:tcBorders>
              <w:top w:val="single" w:sz="4" w:space="0" w:color="auto"/>
              <w:bottom w:val="single" w:sz="4" w:space="0" w:color="auto"/>
            </w:tcBorders>
            <w:shd w:val="clear" w:color="auto" w:fill="auto"/>
            <w:noWrap/>
            <w:vAlign w:val="center"/>
            <w:hideMark/>
          </w:tcPr>
          <w:p w14:paraId="1708727A" w14:textId="77777777" w:rsidR="005802FF" w:rsidRPr="00FE69AA" w:rsidRDefault="005802FF" w:rsidP="007F00EC">
            <w:pPr>
              <w:spacing w:after="0" w:line="240" w:lineRule="auto"/>
              <w:jc w:val="center"/>
              <w:rPr>
                <w:rFonts w:ascii="Arial Narrow" w:eastAsia="Times New Roman" w:hAnsi="Arial Narrow" w:cs="Times New Roman"/>
                <w:b/>
                <w:bCs/>
                <w:color w:val="000000"/>
                <w:sz w:val="20"/>
                <w:szCs w:val="18"/>
              </w:rPr>
            </w:pPr>
            <w:r w:rsidRPr="00FE69AA">
              <w:rPr>
                <w:rFonts w:ascii="Arial Narrow" w:eastAsia="Times New Roman" w:hAnsi="Arial Narrow" w:cs="Times New Roman"/>
                <w:b/>
                <w:bCs/>
                <w:color w:val="000000"/>
                <w:sz w:val="20"/>
                <w:szCs w:val="18"/>
              </w:rPr>
              <w:t>Porcentaje</w:t>
            </w:r>
          </w:p>
        </w:tc>
      </w:tr>
      <w:tr w:rsidR="005802FF" w14:paraId="0BDA27F9" w14:textId="77777777" w:rsidTr="007F00EC">
        <w:trPr>
          <w:trHeight w:val="227"/>
          <w:jc w:val="center"/>
        </w:trPr>
        <w:tc>
          <w:tcPr>
            <w:tcW w:w="1004" w:type="dxa"/>
            <w:vMerge/>
            <w:tcBorders>
              <w:bottom w:val="single" w:sz="4" w:space="0" w:color="auto"/>
            </w:tcBorders>
            <w:shd w:val="clear" w:color="auto" w:fill="auto"/>
            <w:noWrap/>
            <w:vAlign w:val="center"/>
          </w:tcPr>
          <w:p w14:paraId="71E10D98" w14:textId="77777777" w:rsidR="005802FF" w:rsidRPr="00FE69AA" w:rsidRDefault="005802FF" w:rsidP="007F00EC">
            <w:pPr>
              <w:spacing w:after="0" w:line="240" w:lineRule="auto"/>
              <w:jc w:val="center"/>
              <w:rPr>
                <w:rFonts w:ascii="Arial Narrow" w:eastAsia="Times New Roman" w:hAnsi="Arial Narrow" w:cs="Times New Roman"/>
                <w:b/>
                <w:bCs/>
                <w:color w:val="000000"/>
                <w:sz w:val="20"/>
                <w:szCs w:val="18"/>
              </w:rPr>
            </w:pPr>
          </w:p>
        </w:tc>
        <w:tc>
          <w:tcPr>
            <w:tcW w:w="1215" w:type="dxa"/>
            <w:tcBorders>
              <w:top w:val="single" w:sz="4" w:space="0" w:color="auto"/>
              <w:bottom w:val="single" w:sz="4" w:space="0" w:color="auto"/>
            </w:tcBorders>
            <w:shd w:val="clear" w:color="auto" w:fill="auto"/>
            <w:noWrap/>
            <w:vAlign w:val="center"/>
          </w:tcPr>
          <w:p w14:paraId="61D36AEA" w14:textId="77777777" w:rsidR="005802FF" w:rsidRPr="00FE69AA" w:rsidRDefault="005802FF"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M. Ambiente</w:t>
            </w:r>
          </w:p>
        </w:tc>
        <w:tc>
          <w:tcPr>
            <w:tcW w:w="1356" w:type="dxa"/>
            <w:gridSpan w:val="2"/>
            <w:tcBorders>
              <w:top w:val="single" w:sz="4" w:space="0" w:color="auto"/>
              <w:bottom w:val="single" w:sz="4" w:space="0" w:color="auto"/>
            </w:tcBorders>
            <w:shd w:val="clear" w:color="auto" w:fill="auto"/>
            <w:vAlign w:val="center"/>
          </w:tcPr>
          <w:p w14:paraId="06B98607" w14:textId="77777777" w:rsidR="005802FF" w:rsidRPr="00FE69AA" w:rsidRDefault="005802FF"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Agroindustrias</w:t>
            </w:r>
          </w:p>
        </w:tc>
        <w:tc>
          <w:tcPr>
            <w:tcW w:w="1230" w:type="dxa"/>
            <w:tcBorders>
              <w:top w:val="single" w:sz="4" w:space="0" w:color="auto"/>
              <w:bottom w:val="single" w:sz="4" w:space="0" w:color="auto"/>
            </w:tcBorders>
            <w:shd w:val="clear" w:color="auto" w:fill="auto"/>
            <w:noWrap/>
            <w:vAlign w:val="center"/>
          </w:tcPr>
          <w:p w14:paraId="1657670E" w14:textId="77777777" w:rsidR="005802FF" w:rsidRPr="00FE69AA" w:rsidRDefault="005802FF"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M. Ambiente</w:t>
            </w:r>
          </w:p>
        </w:tc>
        <w:tc>
          <w:tcPr>
            <w:tcW w:w="1433" w:type="dxa"/>
            <w:tcBorders>
              <w:top w:val="single" w:sz="4" w:space="0" w:color="auto"/>
              <w:bottom w:val="single" w:sz="4" w:space="0" w:color="auto"/>
            </w:tcBorders>
            <w:shd w:val="clear" w:color="auto" w:fill="auto"/>
            <w:vAlign w:val="center"/>
          </w:tcPr>
          <w:p w14:paraId="32193384" w14:textId="77777777" w:rsidR="005802FF" w:rsidRPr="00FE69AA" w:rsidRDefault="005802FF"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Agroindustrias</w:t>
            </w:r>
          </w:p>
        </w:tc>
      </w:tr>
      <w:tr w:rsidR="005802FF" w14:paraId="40D8C0C2" w14:textId="77777777" w:rsidTr="007F00EC">
        <w:trPr>
          <w:trHeight w:val="227"/>
          <w:jc w:val="center"/>
        </w:trPr>
        <w:tc>
          <w:tcPr>
            <w:tcW w:w="1004" w:type="dxa"/>
            <w:tcBorders>
              <w:top w:val="single" w:sz="4" w:space="0" w:color="auto"/>
            </w:tcBorders>
            <w:shd w:val="clear" w:color="auto" w:fill="auto"/>
            <w:noWrap/>
            <w:vAlign w:val="bottom"/>
            <w:hideMark/>
          </w:tcPr>
          <w:p w14:paraId="4B3C26D7" w14:textId="0569C0DC" w:rsidR="005802FF" w:rsidRDefault="00F152B7"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0 y 6.9</w:t>
            </w:r>
          </w:p>
        </w:tc>
        <w:tc>
          <w:tcPr>
            <w:tcW w:w="1230" w:type="dxa"/>
            <w:gridSpan w:val="2"/>
            <w:tcBorders>
              <w:top w:val="single" w:sz="4" w:space="0" w:color="auto"/>
            </w:tcBorders>
            <w:shd w:val="clear" w:color="auto" w:fill="auto"/>
            <w:noWrap/>
            <w:vAlign w:val="bottom"/>
            <w:hideMark/>
          </w:tcPr>
          <w:p w14:paraId="5DAAE676" w14:textId="74773EDB" w:rsidR="005802FF" w:rsidRDefault="00F152B7"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4</w:t>
            </w:r>
          </w:p>
        </w:tc>
        <w:tc>
          <w:tcPr>
            <w:tcW w:w="1341" w:type="dxa"/>
            <w:tcBorders>
              <w:top w:val="single" w:sz="4" w:space="0" w:color="auto"/>
            </w:tcBorders>
            <w:shd w:val="clear" w:color="auto" w:fill="auto"/>
            <w:noWrap/>
            <w:vAlign w:val="bottom"/>
            <w:hideMark/>
          </w:tcPr>
          <w:p w14:paraId="00582D57" w14:textId="2C87C553" w:rsidR="005802FF" w:rsidRDefault="00F152B7"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3</w:t>
            </w:r>
          </w:p>
        </w:tc>
        <w:tc>
          <w:tcPr>
            <w:tcW w:w="1230" w:type="dxa"/>
            <w:tcBorders>
              <w:top w:val="single" w:sz="4" w:space="0" w:color="auto"/>
            </w:tcBorders>
            <w:shd w:val="clear" w:color="auto" w:fill="auto"/>
            <w:noWrap/>
            <w:vAlign w:val="bottom"/>
            <w:hideMark/>
          </w:tcPr>
          <w:p w14:paraId="51D0085E" w14:textId="63D5B25D" w:rsidR="005802FF" w:rsidRDefault="00F152B7"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18.18</w:t>
            </w:r>
          </w:p>
        </w:tc>
        <w:tc>
          <w:tcPr>
            <w:tcW w:w="1433" w:type="dxa"/>
            <w:tcBorders>
              <w:top w:val="single" w:sz="4" w:space="0" w:color="auto"/>
            </w:tcBorders>
            <w:shd w:val="clear" w:color="auto" w:fill="auto"/>
            <w:noWrap/>
            <w:vAlign w:val="bottom"/>
            <w:hideMark/>
          </w:tcPr>
          <w:p w14:paraId="34DDECF8" w14:textId="23E0281D" w:rsidR="005802FF" w:rsidRDefault="002076AD"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13.64</w:t>
            </w:r>
          </w:p>
        </w:tc>
      </w:tr>
      <w:tr w:rsidR="005802FF" w14:paraId="1204F81B" w14:textId="77777777" w:rsidTr="007F00EC">
        <w:trPr>
          <w:trHeight w:val="227"/>
          <w:jc w:val="center"/>
        </w:trPr>
        <w:tc>
          <w:tcPr>
            <w:tcW w:w="1004" w:type="dxa"/>
            <w:shd w:val="clear" w:color="auto" w:fill="auto"/>
            <w:noWrap/>
            <w:vAlign w:val="bottom"/>
            <w:hideMark/>
          </w:tcPr>
          <w:p w14:paraId="5667A413" w14:textId="44042C93" w:rsidR="005802FF" w:rsidRDefault="00F152B7"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7.1 y 14</w:t>
            </w:r>
          </w:p>
        </w:tc>
        <w:tc>
          <w:tcPr>
            <w:tcW w:w="1230" w:type="dxa"/>
            <w:gridSpan w:val="2"/>
            <w:shd w:val="clear" w:color="auto" w:fill="auto"/>
            <w:noWrap/>
            <w:vAlign w:val="bottom"/>
            <w:hideMark/>
          </w:tcPr>
          <w:p w14:paraId="610E3F52" w14:textId="2181D7EB" w:rsidR="005802FF" w:rsidRDefault="00F152B7"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18</w:t>
            </w:r>
          </w:p>
        </w:tc>
        <w:tc>
          <w:tcPr>
            <w:tcW w:w="1341" w:type="dxa"/>
            <w:shd w:val="clear" w:color="auto" w:fill="auto"/>
            <w:noWrap/>
            <w:vAlign w:val="bottom"/>
            <w:hideMark/>
          </w:tcPr>
          <w:p w14:paraId="7AA0257F" w14:textId="3403E8C6" w:rsidR="005802FF" w:rsidRDefault="00F152B7"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19</w:t>
            </w:r>
          </w:p>
        </w:tc>
        <w:tc>
          <w:tcPr>
            <w:tcW w:w="1230" w:type="dxa"/>
            <w:shd w:val="clear" w:color="auto" w:fill="auto"/>
            <w:noWrap/>
            <w:vAlign w:val="bottom"/>
            <w:hideMark/>
          </w:tcPr>
          <w:p w14:paraId="6CCB6AE0" w14:textId="463870E3" w:rsidR="005802FF" w:rsidRDefault="00F152B7"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81.82</w:t>
            </w:r>
          </w:p>
        </w:tc>
        <w:tc>
          <w:tcPr>
            <w:tcW w:w="1433" w:type="dxa"/>
            <w:shd w:val="clear" w:color="auto" w:fill="auto"/>
            <w:noWrap/>
            <w:vAlign w:val="bottom"/>
            <w:hideMark/>
          </w:tcPr>
          <w:p w14:paraId="52D00963" w14:textId="68B2C2F8" w:rsidR="005802FF" w:rsidRDefault="002076AD"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86.36</w:t>
            </w:r>
          </w:p>
        </w:tc>
      </w:tr>
      <w:tr w:rsidR="005802FF" w14:paraId="73CD5728" w14:textId="77777777" w:rsidTr="007F00EC">
        <w:trPr>
          <w:trHeight w:val="227"/>
          <w:jc w:val="center"/>
        </w:trPr>
        <w:tc>
          <w:tcPr>
            <w:tcW w:w="1004" w:type="dxa"/>
            <w:tcBorders>
              <w:bottom w:val="single" w:sz="4" w:space="0" w:color="auto"/>
            </w:tcBorders>
            <w:shd w:val="clear" w:color="auto" w:fill="auto"/>
            <w:noWrap/>
            <w:vAlign w:val="bottom"/>
            <w:hideMark/>
          </w:tcPr>
          <w:p w14:paraId="63AECED1" w14:textId="77777777" w:rsidR="005802FF" w:rsidRPr="003D772D" w:rsidRDefault="005802FF" w:rsidP="007F00EC">
            <w:pPr>
              <w:spacing w:after="0" w:line="240" w:lineRule="auto"/>
              <w:jc w:val="center"/>
              <w:rPr>
                <w:rFonts w:ascii="Arial Narrow" w:eastAsia="Times New Roman" w:hAnsi="Arial Narrow" w:cs="Times New Roman"/>
                <w:b/>
                <w:bCs/>
                <w:color w:val="000000"/>
                <w:sz w:val="20"/>
                <w:szCs w:val="18"/>
              </w:rPr>
            </w:pPr>
            <w:r w:rsidRPr="003D772D">
              <w:rPr>
                <w:rFonts w:ascii="Arial Narrow" w:eastAsia="Times New Roman" w:hAnsi="Arial Narrow" w:cs="Times New Roman"/>
                <w:b/>
                <w:bCs/>
                <w:color w:val="000000"/>
                <w:sz w:val="20"/>
                <w:szCs w:val="18"/>
              </w:rPr>
              <w:t>Total</w:t>
            </w:r>
          </w:p>
        </w:tc>
        <w:tc>
          <w:tcPr>
            <w:tcW w:w="1230" w:type="dxa"/>
            <w:gridSpan w:val="2"/>
            <w:tcBorders>
              <w:bottom w:val="single" w:sz="4" w:space="0" w:color="auto"/>
            </w:tcBorders>
            <w:shd w:val="clear" w:color="auto" w:fill="auto"/>
            <w:noWrap/>
            <w:vAlign w:val="bottom"/>
            <w:hideMark/>
          </w:tcPr>
          <w:p w14:paraId="44410BCE" w14:textId="77777777" w:rsidR="005802FF" w:rsidRDefault="005802FF"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22</w:t>
            </w:r>
          </w:p>
        </w:tc>
        <w:tc>
          <w:tcPr>
            <w:tcW w:w="1341" w:type="dxa"/>
            <w:tcBorders>
              <w:bottom w:val="single" w:sz="4" w:space="0" w:color="auto"/>
            </w:tcBorders>
            <w:shd w:val="clear" w:color="auto" w:fill="auto"/>
            <w:noWrap/>
            <w:vAlign w:val="bottom"/>
            <w:hideMark/>
          </w:tcPr>
          <w:p w14:paraId="0E6EBC8C" w14:textId="77777777" w:rsidR="005802FF" w:rsidRDefault="005802FF"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22</w:t>
            </w:r>
          </w:p>
        </w:tc>
        <w:tc>
          <w:tcPr>
            <w:tcW w:w="1230" w:type="dxa"/>
            <w:tcBorders>
              <w:bottom w:val="single" w:sz="4" w:space="0" w:color="auto"/>
            </w:tcBorders>
            <w:shd w:val="clear" w:color="auto" w:fill="auto"/>
            <w:noWrap/>
            <w:vAlign w:val="bottom"/>
            <w:hideMark/>
          </w:tcPr>
          <w:p w14:paraId="4944111D" w14:textId="77777777" w:rsidR="005802FF" w:rsidRDefault="005802FF"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100.00</w:t>
            </w:r>
          </w:p>
        </w:tc>
        <w:tc>
          <w:tcPr>
            <w:tcW w:w="1433" w:type="dxa"/>
            <w:tcBorders>
              <w:bottom w:val="single" w:sz="4" w:space="0" w:color="auto"/>
            </w:tcBorders>
            <w:shd w:val="clear" w:color="auto" w:fill="auto"/>
            <w:noWrap/>
            <w:vAlign w:val="bottom"/>
            <w:hideMark/>
          </w:tcPr>
          <w:p w14:paraId="53515F99" w14:textId="77777777" w:rsidR="005802FF" w:rsidRDefault="005802FF"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100.00</w:t>
            </w:r>
          </w:p>
        </w:tc>
      </w:tr>
    </w:tbl>
    <w:p w14:paraId="2CAEE623" w14:textId="77777777" w:rsidR="002076AD" w:rsidRDefault="002076AD" w:rsidP="002076AD">
      <w:pPr>
        <w:keepNext/>
        <w:spacing w:before="240" w:after="0"/>
        <w:jc w:val="center"/>
      </w:pPr>
      <w:r>
        <w:rPr>
          <w:noProof/>
          <w:lang w:eastAsia="es-EC"/>
        </w:rPr>
        <w:drawing>
          <wp:inline distT="0" distB="0" distL="0" distR="0" wp14:anchorId="6B508644" wp14:editId="462D1F50">
            <wp:extent cx="2771775" cy="1800000"/>
            <wp:effectExtent l="0" t="0" r="9525" b="1016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BF8B51" w14:textId="13A8AADA" w:rsidR="002076AD" w:rsidRDefault="002076AD" w:rsidP="002076AD">
      <w:pPr>
        <w:pStyle w:val="Descripcin"/>
        <w:jc w:val="center"/>
        <w:rPr>
          <w:rFonts w:ascii="Arial Narrow" w:hAnsi="Arial Narrow"/>
          <w:i w:val="0"/>
          <w:iCs w:val="0"/>
          <w:color w:val="0D0D0D" w:themeColor="text1" w:themeTint="F2"/>
          <w:sz w:val="20"/>
          <w:szCs w:val="20"/>
        </w:rPr>
      </w:pPr>
      <w:r w:rsidRPr="006A6746">
        <w:rPr>
          <w:rFonts w:ascii="Arial Narrow" w:hAnsi="Arial Narrow"/>
          <w:b/>
          <w:bCs/>
          <w:i w:val="0"/>
          <w:iCs w:val="0"/>
          <w:color w:val="0D0D0D" w:themeColor="text1" w:themeTint="F2"/>
          <w:sz w:val="20"/>
          <w:szCs w:val="20"/>
        </w:rPr>
        <w:t xml:space="preserve">Figura </w:t>
      </w:r>
      <w:r w:rsidRPr="006A6746">
        <w:rPr>
          <w:rFonts w:ascii="Arial Narrow" w:hAnsi="Arial Narrow"/>
          <w:b/>
          <w:bCs/>
          <w:i w:val="0"/>
          <w:iCs w:val="0"/>
          <w:color w:val="0D0D0D" w:themeColor="text1" w:themeTint="F2"/>
          <w:sz w:val="20"/>
          <w:szCs w:val="20"/>
        </w:rPr>
        <w:fldChar w:fldCharType="begin"/>
      </w:r>
      <w:r w:rsidRPr="006A6746">
        <w:rPr>
          <w:rFonts w:ascii="Arial Narrow" w:hAnsi="Arial Narrow"/>
          <w:b/>
          <w:bCs/>
          <w:i w:val="0"/>
          <w:iCs w:val="0"/>
          <w:color w:val="0D0D0D" w:themeColor="text1" w:themeTint="F2"/>
          <w:sz w:val="20"/>
          <w:szCs w:val="20"/>
        </w:rPr>
        <w:instrText xml:space="preserve"> SEQ Figura \* ARABIC </w:instrText>
      </w:r>
      <w:r w:rsidRPr="006A6746">
        <w:rPr>
          <w:rFonts w:ascii="Arial Narrow" w:hAnsi="Arial Narrow"/>
          <w:b/>
          <w:bCs/>
          <w:i w:val="0"/>
          <w:iCs w:val="0"/>
          <w:color w:val="0D0D0D" w:themeColor="text1" w:themeTint="F2"/>
          <w:sz w:val="20"/>
          <w:szCs w:val="20"/>
        </w:rPr>
        <w:fldChar w:fldCharType="separate"/>
      </w:r>
      <w:r>
        <w:rPr>
          <w:rFonts w:ascii="Arial Narrow" w:hAnsi="Arial Narrow"/>
          <w:b/>
          <w:bCs/>
          <w:i w:val="0"/>
          <w:iCs w:val="0"/>
          <w:noProof/>
          <w:color w:val="0D0D0D" w:themeColor="text1" w:themeTint="F2"/>
          <w:sz w:val="20"/>
          <w:szCs w:val="20"/>
        </w:rPr>
        <w:t>6</w:t>
      </w:r>
      <w:r w:rsidRPr="006A6746">
        <w:rPr>
          <w:rFonts w:ascii="Arial Narrow" w:hAnsi="Arial Narrow"/>
          <w:b/>
          <w:bCs/>
          <w:i w:val="0"/>
          <w:iCs w:val="0"/>
          <w:color w:val="0D0D0D" w:themeColor="text1" w:themeTint="F2"/>
          <w:sz w:val="20"/>
          <w:szCs w:val="20"/>
        </w:rPr>
        <w:fldChar w:fldCharType="end"/>
      </w:r>
      <w:r w:rsidRPr="006A6746">
        <w:rPr>
          <w:rFonts w:ascii="Arial Narrow" w:hAnsi="Arial Narrow"/>
          <w:b/>
          <w:bCs/>
          <w:i w:val="0"/>
          <w:iCs w:val="0"/>
          <w:color w:val="0D0D0D" w:themeColor="text1" w:themeTint="F2"/>
          <w:sz w:val="20"/>
          <w:szCs w:val="20"/>
        </w:rPr>
        <w:t>.</w:t>
      </w:r>
      <w:r w:rsidRPr="006A6746">
        <w:rPr>
          <w:rFonts w:ascii="Arial Narrow" w:hAnsi="Arial Narrow"/>
          <w:i w:val="0"/>
          <w:iCs w:val="0"/>
          <w:color w:val="0D0D0D" w:themeColor="text1" w:themeTint="F2"/>
          <w:sz w:val="20"/>
          <w:szCs w:val="20"/>
        </w:rPr>
        <w:t xml:space="preserve"> </w:t>
      </w:r>
      <w:r>
        <w:rPr>
          <w:rFonts w:ascii="Arial Narrow" w:hAnsi="Arial Narrow"/>
          <w:i w:val="0"/>
          <w:iCs w:val="0"/>
          <w:color w:val="0D0D0D" w:themeColor="text1" w:themeTint="F2"/>
          <w:sz w:val="20"/>
          <w:szCs w:val="20"/>
        </w:rPr>
        <w:t>P</w:t>
      </w:r>
      <w:r w:rsidRPr="0068714E">
        <w:rPr>
          <w:rFonts w:ascii="Arial Narrow" w:hAnsi="Arial Narrow"/>
          <w:i w:val="0"/>
          <w:iCs w:val="0"/>
          <w:color w:val="0D0D0D" w:themeColor="text1" w:themeTint="F2"/>
          <w:sz w:val="20"/>
          <w:szCs w:val="20"/>
        </w:rPr>
        <w:t xml:space="preserve">orcentaje de aciertos en la pregunta </w:t>
      </w:r>
      <w:r>
        <w:rPr>
          <w:rFonts w:ascii="Arial Narrow" w:hAnsi="Arial Narrow"/>
          <w:i w:val="0"/>
          <w:iCs w:val="0"/>
          <w:color w:val="0D0D0D" w:themeColor="text1" w:themeTint="F2"/>
          <w:sz w:val="20"/>
          <w:szCs w:val="20"/>
        </w:rPr>
        <w:t>5</w:t>
      </w:r>
      <w:r w:rsidRPr="0068714E">
        <w:rPr>
          <w:rFonts w:ascii="Arial Narrow" w:hAnsi="Arial Narrow"/>
          <w:i w:val="0"/>
          <w:iCs w:val="0"/>
          <w:color w:val="0D0D0D" w:themeColor="text1" w:themeTint="F2"/>
          <w:sz w:val="20"/>
          <w:szCs w:val="20"/>
        </w:rPr>
        <w:t xml:space="preserve"> de</w:t>
      </w:r>
      <w:r>
        <w:rPr>
          <w:rFonts w:ascii="Arial Narrow" w:hAnsi="Arial Narrow"/>
          <w:i w:val="0"/>
          <w:iCs w:val="0"/>
          <w:color w:val="0D0D0D" w:themeColor="text1" w:themeTint="F2"/>
          <w:sz w:val="20"/>
          <w:szCs w:val="20"/>
        </w:rPr>
        <w:t>l instrumento de</w:t>
      </w:r>
      <w:r w:rsidRPr="0068714E">
        <w:rPr>
          <w:rFonts w:ascii="Arial Narrow" w:hAnsi="Arial Narrow"/>
          <w:i w:val="0"/>
          <w:iCs w:val="0"/>
          <w:color w:val="0D0D0D" w:themeColor="text1" w:themeTint="F2"/>
          <w:sz w:val="20"/>
          <w:szCs w:val="20"/>
        </w:rPr>
        <w:t xml:space="preserve"> evaluación.</w:t>
      </w:r>
    </w:p>
    <w:p w14:paraId="0FB6A899" w14:textId="037D306C" w:rsidR="00297360" w:rsidRDefault="00F80340" w:rsidP="00F80340">
      <w:pPr>
        <w:rPr>
          <w:rFonts w:cs="Arial"/>
          <w:szCs w:val="24"/>
        </w:rPr>
      </w:pPr>
      <w:r>
        <w:t xml:space="preserve">En cuanto a los </w:t>
      </w:r>
      <w:r w:rsidRPr="005802FF">
        <w:rPr>
          <w:rFonts w:cs="Arial"/>
          <w:szCs w:val="24"/>
        </w:rPr>
        <w:t xml:space="preserve">valores </w:t>
      </w:r>
      <w:r>
        <w:rPr>
          <w:rFonts w:cs="Arial"/>
          <w:szCs w:val="24"/>
        </w:rPr>
        <w:t xml:space="preserve">de pH que </w:t>
      </w:r>
      <w:r w:rsidRPr="005802FF">
        <w:rPr>
          <w:rFonts w:cs="Arial"/>
          <w:szCs w:val="24"/>
        </w:rPr>
        <w:t>caracterizan sustancias ácidas</w:t>
      </w:r>
      <w:r>
        <w:rPr>
          <w:rFonts w:cs="Arial"/>
          <w:szCs w:val="24"/>
        </w:rPr>
        <w:t>, se obtuvieron respuestas desfavorables en ambos grupos (tabla</w:t>
      </w:r>
      <w:r w:rsidR="00176D69">
        <w:rPr>
          <w:rFonts w:cs="Arial"/>
          <w:szCs w:val="24"/>
        </w:rPr>
        <w:t xml:space="preserve"> </w:t>
      </w:r>
      <w:r>
        <w:rPr>
          <w:rFonts w:cs="Arial"/>
          <w:szCs w:val="24"/>
        </w:rPr>
        <w:t xml:space="preserve">5 y figura 6). </w:t>
      </w:r>
      <w:r w:rsidR="00F5541C">
        <w:rPr>
          <w:rFonts w:cs="Arial"/>
          <w:szCs w:val="24"/>
        </w:rPr>
        <w:t xml:space="preserve">El 18.18 de </w:t>
      </w:r>
      <w:r>
        <w:rPr>
          <w:rFonts w:cs="Arial"/>
          <w:szCs w:val="24"/>
        </w:rPr>
        <w:t xml:space="preserve">os estudiantes de Medio </w:t>
      </w:r>
      <w:r w:rsidR="00F5541C">
        <w:rPr>
          <w:rFonts w:cs="Arial"/>
          <w:szCs w:val="24"/>
        </w:rPr>
        <w:t xml:space="preserve">Ambiente acertaron esta interrogante, por otra parte, únicamente el 13.64 del grupo de Agroindustrias acertó; obteniéndose en este </w:t>
      </w:r>
      <w:r w:rsidR="00F5541C">
        <w:rPr>
          <w:rFonts w:cs="Arial"/>
          <w:szCs w:val="24"/>
        </w:rPr>
        <w:lastRenderedPageBreak/>
        <w:t xml:space="preserve">caso menos aciertos en el grupo donde se empleó el software </w:t>
      </w:r>
      <w:proofErr w:type="spellStart"/>
      <w:r w:rsidR="00F5541C">
        <w:rPr>
          <w:rFonts w:cs="Arial"/>
          <w:szCs w:val="24"/>
        </w:rPr>
        <w:t>ChemLab</w:t>
      </w:r>
      <w:proofErr w:type="spellEnd"/>
      <w:r w:rsidR="00F5541C">
        <w:rPr>
          <w:rFonts w:cs="Arial"/>
          <w:szCs w:val="24"/>
        </w:rPr>
        <w:t xml:space="preserve"> para la explicación sobre valoración ácido-base.</w:t>
      </w:r>
    </w:p>
    <w:p w14:paraId="6B58D624" w14:textId="52F75FB4" w:rsidR="009D454B" w:rsidRDefault="009D454B" w:rsidP="009D454B">
      <w:pPr>
        <w:pStyle w:val="Prrafodelista"/>
        <w:numPr>
          <w:ilvl w:val="0"/>
          <w:numId w:val="6"/>
        </w:numPr>
        <w:spacing w:line="360" w:lineRule="auto"/>
        <w:jc w:val="both"/>
        <w:rPr>
          <w:rFonts w:ascii="Arial" w:hAnsi="Arial" w:cs="Arial"/>
          <w:sz w:val="24"/>
          <w:szCs w:val="24"/>
        </w:rPr>
      </w:pPr>
      <w:r w:rsidRPr="009D454B">
        <w:rPr>
          <w:rFonts w:ascii="Arial" w:hAnsi="Arial" w:cs="Arial"/>
          <w:sz w:val="24"/>
          <w:szCs w:val="24"/>
        </w:rPr>
        <w:t xml:space="preserve">En la escala de </w:t>
      </w:r>
      <w:proofErr w:type="spellStart"/>
      <w:r w:rsidRPr="009D454B">
        <w:rPr>
          <w:rFonts w:ascii="Arial" w:hAnsi="Arial" w:cs="Arial"/>
          <w:sz w:val="24"/>
          <w:szCs w:val="24"/>
        </w:rPr>
        <w:t>pOH</w:t>
      </w:r>
      <w:proofErr w:type="spellEnd"/>
      <w:r w:rsidRPr="009D454B">
        <w:rPr>
          <w:rFonts w:ascii="Arial" w:hAnsi="Arial" w:cs="Arial"/>
          <w:sz w:val="24"/>
          <w:szCs w:val="24"/>
        </w:rPr>
        <w:t xml:space="preserve"> ¿Cuál de los siguientes valores caracterizan sustancias básicas?</w:t>
      </w:r>
    </w:p>
    <w:p w14:paraId="771F6D61" w14:textId="65821109" w:rsidR="00AC657A" w:rsidRDefault="00AC657A" w:rsidP="00AC657A">
      <w:pPr>
        <w:rPr>
          <w:rFonts w:cs="Arial"/>
          <w:szCs w:val="24"/>
        </w:rPr>
      </w:pPr>
      <w:r w:rsidRPr="00AC657A">
        <w:rPr>
          <w:rFonts w:cs="Arial"/>
          <w:szCs w:val="24"/>
        </w:rPr>
        <w:t>En este caso, los estudiantes de ambos grupos también presentaron serias deficiencias, pues del grupo de Medio Ambiente sólo el 18.18% de estudiantes acertó; y, en el grupo de Agroindustrias a penas el 9.09% de alumnos respondió correctamente. Este hallazgo, invita a los docentes a incluir en su trabajo estrategias para superar estas carencias, pues el conocimiento de las escalas para sustancia ácidas o básicas permitirá que los estudiantes comprendan procesos de carácter agroindustrial, así como fenómenos químicos referentes al ambiente.</w:t>
      </w:r>
    </w:p>
    <w:p w14:paraId="33C02D0C" w14:textId="770FB0E5" w:rsidR="00722D3D" w:rsidRPr="0068714E" w:rsidRDefault="00722D3D" w:rsidP="00722D3D">
      <w:pPr>
        <w:pStyle w:val="Descripcin"/>
        <w:keepNext/>
        <w:spacing w:after="120"/>
        <w:ind w:left="360"/>
        <w:jc w:val="center"/>
        <w:rPr>
          <w:rFonts w:ascii="Arial Narrow" w:hAnsi="Arial Narrow"/>
          <w:i w:val="0"/>
          <w:iCs w:val="0"/>
          <w:color w:val="0D0D0D" w:themeColor="text1" w:themeTint="F2"/>
          <w:sz w:val="20"/>
          <w:szCs w:val="20"/>
        </w:rPr>
      </w:pPr>
      <w:r w:rsidRPr="004064D4">
        <w:rPr>
          <w:rFonts w:ascii="Arial Narrow" w:hAnsi="Arial Narrow"/>
          <w:b/>
          <w:bCs/>
          <w:i w:val="0"/>
          <w:iCs w:val="0"/>
          <w:color w:val="0D0D0D" w:themeColor="text1" w:themeTint="F2"/>
          <w:sz w:val="20"/>
          <w:szCs w:val="20"/>
        </w:rPr>
        <w:t xml:space="preserve">Tabla </w:t>
      </w:r>
      <w:r w:rsidRPr="004064D4">
        <w:rPr>
          <w:rFonts w:ascii="Arial Narrow" w:hAnsi="Arial Narrow"/>
          <w:b/>
          <w:bCs/>
          <w:i w:val="0"/>
          <w:iCs w:val="0"/>
          <w:color w:val="0D0D0D" w:themeColor="text1" w:themeTint="F2"/>
          <w:sz w:val="20"/>
          <w:szCs w:val="20"/>
        </w:rPr>
        <w:fldChar w:fldCharType="begin"/>
      </w:r>
      <w:r w:rsidRPr="004064D4">
        <w:rPr>
          <w:rFonts w:ascii="Arial Narrow" w:hAnsi="Arial Narrow"/>
          <w:b/>
          <w:bCs/>
          <w:i w:val="0"/>
          <w:iCs w:val="0"/>
          <w:color w:val="0D0D0D" w:themeColor="text1" w:themeTint="F2"/>
          <w:sz w:val="20"/>
          <w:szCs w:val="20"/>
        </w:rPr>
        <w:instrText xml:space="preserve"> SEQ Tabla \* ARABIC </w:instrText>
      </w:r>
      <w:r w:rsidRPr="004064D4">
        <w:rPr>
          <w:rFonts w:ascii="Arial Narrow" w:hAnsi="Arial Narrow"/>
          <w:b/>
          <w:bCs/>
          <w:i w:val="0"/>
          <w:iCs w:val="0"/>
          <w:color w:val="0D0D0D" w:themeColor="text1" w:themeTint="F2"/>
          <w:sz w:val="20"/>
          <w:szCs w:val="20"/>
        </w:rPr>
        <w:fldChar w:fldCharType="separate"/>
      </w:r>
      <w:r>
        <w:rPr>
          <w:rFonts w:ascii="Arial Narrow" w:hAnsi="Arial Narrow"/>
          <w:b/>
          <w:bCs/>
          <w:i w:val="0"/>
          <w:iCs w:val="0"/>
          <w:noProof/>
          <w:color w:val="0D0D0D" w:themeColor="text1" w:themeTint="F2"/>
          <w:sz w:val="20"/>
          <w:szCs w:val="20"/>
        </w:rPr>
        <w:t>6</w:t>
      </w:r>
      <w:r w:rsidRPr="004064D4">
        <w:rPr>
          <w:rFonts w:ascii="Arial Narrow" w:hAnsi="Arial Narrow"/>
          <w:b/>
          <w:bCs/>
          <w:i w:val="0"/>
          <w:iCs w:val="0"/>
          <w:color w:val="0D0D0D" w:themeColor="text1" w:themeTint="F2"/>
          <w:sz w:val="20"/>
          <w:szCs w:val="20"/>
        </w:rPr>
        <w:fldChar w:fldCharType="end"/>
      </w:r>
      <w:r>
        <w:rPr>
          <w:rFonts w:ascii="Arial Narrow" w:hAnsi="Arial Narrow"/>
          <w:i w:val="0"/>
          <w:iCs w:val="0"/>
          <w:color w:val="0D0D0D" w:themeColor="text1" w:themeTint="F2"/>
          <w:sz w:val="20"/>
          <w:szCs w:val="20"/>
        </w:rPr>
        <w:t xml:space="preserve">. </w:t>
      </w:r>
      <w:r w:rsidRPr="0068714E">
        <w:rPr>
          <w:rFonts w:ascii="Arial Narrow" w:hAnsi="Arial Narrow"/>
          <w:i w:val="0"/>
          <w:iCs w:val="0"/>
          <w:color w:val="0D0D0D" w:themeColor="text1" w:themeTint="F2"/>
          <w:sz w:val="20"/>
          <w:szCs w:val="20"/>
        </w:rPr>
        <w:t xml:space="preserve">Frecuencia y porcentaje de </w:t>
      </w:r>
      <w:r w:rsidR="00703487">
        <w:rPr>
          <w:rFonts w:ascii="Arial Narrow" w:hAnsi="Arial Narrow"/>
          <w:i w:val="0"/>
          <w:iCs w:val="0"/>
          <w:color w:val="0D0D0D" w:themeColor="text1" w:themeTint="F2"/>
          <w:sz w:val="20"/>
          <w:szCs w:val="20"/>
        </w:rPr>
        <w:t>respuestas</w:t>
      </w:r>
      <w:r w:rsidR="00703487" w:rsidRPr="0068714E">
        <w:rPr>
          <w:rFonts w:ascii="Arial Narrow" w:hAnsi="Arial Narrow"/>
          <w:i w:val="0"/>
          <w:iCs w:val="0"/>
          <w:color w:val="0D0D0D" w:themeColor="text1" w:themeTint="F2"/>
          <w:sz w:val="20"/>
          <w:szCs w:val="20"/>
        </w:rPr>
        <w:t xml:space="preserve"> </w:t>
      </w:r>
      <w:r w:rsidRPr="0068714E">
        <w:rPr>
          <w:rFonts w:ascii="Arial Narrow" w:hAnsi="Arial Narrow"/>
          <w:i w:val="0"/>
          <w:iCs w:val="0"/>
          <w:color w:val="0D0D0D" w:themeColor="text1" w:themeTint="F2"/>
          <w:sz w:val="20"/>
          <w:szCs w:val="20"/>
        </w:rPr>
        <w:t>en la pregunta</w:t>
      </w:r>
      <w:r>
        <w:rPr>
          <w:rFonts w:ascii="Arial Narrow" w:hAnsi="Arial Narrow"/>
          <w:i w:val="0"/>
          <w:iCs w:val="0"/>
          <w:color w:val="0D0D0D" w:themeColor="text1" w:themeTint="F2"/>
          <w:sz w:val="20"/>
          <w:szCs w:val="20"/>
        </w:rPr>
        <w:t xml:space="preserve"> 6</w:t>
      </w:r>
      <w:r w:rsidRPr="0068714E">
        <w:rPr>
          <w:rFonts w:ascii="Arial Narrow" w:hAnsi="Arial Narrow"/>
          <w:i w:val="0"/>
          <w:iCs w:val="0"/>
          <w:color w:val="0D0D0D" w:themeColor="text1" w:themeTint="F2"/>
          <w:sz w:val="20"/>
          <w:szCs w:val="20"/>
        </w:rPr>
        <w:t xml:space="preserve"> de la evaluación.</w:t>
      </w:r>
    </w:p>
    <w:tbl>
      <w:tblPr>
        <w:tblW w:w="6238" w:type="dxa"/>
        <w:jc w:val="center"/>
        <w:tblCellMar>
          <w:left w:w="70" w:type="dxa"/>
          <w:right w:w="70" w:type="dxa"/>
        </w:tblCellMar>
        <w:tblLook w:val="04A0" w:firstRow="1" w:lastRow="0" w:firstColumn="1" w:lastColumn="0" w:noHBand="0" w:noVBand="1"/>
      </w:tblPr>
      <w:tblGrid>
        <w:gridCol w:w="1004"/>
        <w:gridCol w:w="1215"/>
        <w:gridCol w:w="15"/>
        <w:gridCol w:w="1341"/>
        <w:gridCol w:w="1230"/>
        <w:gridCol w:w="1433"/>
      </w:tblGrid>
      <w:tr w:rsidR="00722D3D" w14:paraId="59A93809" w14:textId="77777777" w:rsidTr="007F00EC">
        <w:trPr>
          <w:trHeight w:val="227"/>
          <w:jc w:val="center"/>
        </w:trPr>
        <w:tc>
          <w:tcPr>
            <w:tcW w:w="1004" w:type="dxa"/>
            <w:vMerge w:val="restart"/>
            <w:tcBorders>
              <w:top w:val="single" w:sz="4" w:space="0" w:color="auto"/>
            </w:tcBorders>
            <w:shd w:val="clear" w:color="auto" w:fill="auto"/>
            <w:noWrap/>
            <w:vAlign w:val="center"/>
            <w:hideMark/>
          </w:tcPr>
          <w:p w14:paraId="6E8CEAAA" w14:textId="77777777" w:rsidR="00722D3D" w:rsidRPr="00FE69AA" w:rsidRDefault="00722D3D" w:rsidP="007F00EC">
            <w:pPr>
              <w:spacing w:after="0" w:line="240" w:lineRule="auto"/>
              <w:jc w:val="center"/>
              <w:rPr>
                <w:rFonts w:ascii="Arial Narrow" w:eastAsia="Times New Roman" w:hAnsi="Arial Narrow" w:cs="Times New Roman"/>
                <w:b/>
                <w:bCs/>
                <w:color w:val="000000"/>
                <w:sz w:val="20"/>
                <w:szCs w:val="18"/>
                <w:lang w:val="es-ES" w:eastAsia="es-ES"/>
              </w:rPr>
            </w:pPr>
            <w:r w:rsidRPr="00FE69AA">
              <w:rPr>
                <w:rFonts w:ascii="Arial Narrow" w:eastAsia="Times New Roman" w:hAnsi="Arial Narrow" w:cs="Times New Roman"/>
                <w:b/>
                <w:bCs/>
                <w:color w:val="000000"/>
                <w:sz w:val="20"/>
                <w:szCs w:val="18"/>
              </w:rPr>
              <w:t>Variables</w:t>
            </w:r>
          </w:p>
        </w:tc>
        <w:tc>
          <w:tcPr>
            <w:tcW w:w="2571" w:type="dxa"/>
            <w:gridSpan w:val="3"/>
            <w:tcBorders>
              <w:top w:val="single" w:sz="4" w:space="0" w:color="auto"/>
              <w:bottom w:val="single" w:sz="4" w:space="0" w:color="auto"/>
            </w:tcBorders>
            <w:shd w:val="clear" w:color="auto" w:fill="auto"/>
            <w:noWrap/>
            <w:vAlign w:val="center"/>
            <w:hideMark/>
          </w:tcPr>
          <w:p w14:paraId="2F137CA3" w14:textId="77777777" w:rsidR="00722D3D" w:rsidRPr="00FE69AA" w:rsidRDefault="00722D3D" w:rsidP="007F00EC">
            <w:pPr>
              <w:spacing w:after="0" w:line="240" w:lineRule="auto"/>
              <w:jc w:val="center"/>
              <w:rPr>
                <w:rFonts w:ascii="Arial Narrow" w:eastAsia="Times New Roman" w:hAnsi="Arial Narrow" w:cs="Times New Roman"/>
                <w:b/>
                <w:bCs/>
                <w:color w:val="000000"/>
                <w:sz w:val="20"/>
                <w:szCs w:val="18"/>
              </w:rPr>
            </w:pPr>
            <w:r w:rsidRPr="00FE69AA">
              <w:rPr>
                <w:rFonts w:ascii="Arial Narrow" w:eastAsia="Times New Roman" w:hAnsi="Arial Narrow" w:cs="Times New Roman"/>
                <w:b/>
                <w:bCs/>
                <w:color w:val="000000"/>
                <w:sz w:val="20"/>
                <w:szCs w:val="18"/>
              </w:rPr>
              <w:t>Frecuencia</w:t>
            </w:r>
          </w:p>
        </w:tc>
        <w:tc>
          <w:tcPr>
            <w:tcW w:w="2663" w:type="dxa"/>
            <w:gridSpan w:val="2"/>
            <w:tcBorders>
              <w:top w:val="single" w:sz="4" w:space="0" w:color="auto"/>
              <w:bottom w:val="single" w:sz="4" w:space="0" w:color="auto"/>
            </w:tcBorders>
            <w:shd w:val="clear" w:color="auto" w:fill="auto"/>
            <w:noWrap/>
            <w:vAlign w:val="center"/>
            <w:hideMark/>
          </w:tcPr>
          <w:p w14:paraId="19A13CE1" w14:textId="77777777" w:rsidR="00722D3D" w:rsidRPr="00FE69AA" w:rsidRDefault="00722D3D" w:rsidP="007F00EC">
            <w:pPr>
              <w:spacing w:after="0" w:line="240" w:lineRule="auto"/>
              <w:jc w:val="center"/>
              <w:rPr>
                <w:rFonts w:ascii="Arial Narrow" w:eastAsia="Times New Roman" w:hAnsi="Arial Narrow" w:cs="Times New Roman"/>
                <w:b/>
                <w:bCs/>
                <w:color w:val="000000"/>
                <w:sz w:val="20"/>
                <w:szCs w:val="18"/>
              </w:rPr>
            </w:pPr>
            <w:r w:rsidRPr="00FE69AA">
              <w:rPr>
                <w:rFonts w:ascii="Arial Narrow" w:eastAsia="Times New Roman" w:hAnsi="Arial Narrow" w:cs="Times New Roman"/>
                <w:b/>
                <w:bCs/>
                <w:color w:val="000000"/>
                <w:sz w:val="20"/>
                <w:szCs w:val="18"/>
              </w:rPr>
              <w:t>Porcentaje</w:t>
            </w:r>
          </w:p>
        </w:tc>
      </w:tr>
      <w:tr w:rsidR="00722D3D" w14:paraId="37AD5E51" w14:textId="77777777" w:rsidTr="007F00EC">
        <w:trPr>
          <w:trHeight w:val="227"/>
          <w:jc w:val="center"/>
        </w:trPr>
        <w:tc>
          <w:tcPr>
            <w:tcW w:w="1004" w:type="dxa"/>
            <w:vMerge/>
            <w:tcBorders>
              <w:bottom w:val="single" w:sz="4" w:space="0" w:color="auto"/>
            </w:tcBorders>
            <w:shd w:val="clear" w:color="auto" w:fill="auto"/>
            <w:noWrap/>
            <w:vAlign w:val="center"/>
          </w:tcPr>
          <w:p w14:paraId="4BD7A93B" w14:textId="77777777" w:rsidR="00722D3D" w:rsidRPr="00FE69AA" w:rsidRDefault="00722D3D" w:rsidP="007F00EC">
            <w:pPr>
              <w:spacing w:after="0" w:line="240" w:lineRule="auto"/>
              <w:jc w:val="center"/>
              <w:rPr>
                <w:rFonts w:ascii="Arial Narrow" w:eastAsia="Times New Roman" w:hAnsi="Arial Narrow" w:cs="Times New Roman"/>
                <w:b/>
                <w:bCs/>
                <w:color w:val="000000"/>
                <w:sz w:val="20"/>
                <w:szCs w:val="18"/>
              </w:rPr>
            </w:pPr>
          </w:p>
        </w:tc>
        <w:tc>
          <w:tcPr>
            <w:tcW w:w="1215" w:type="dxa"/>
            <w:tcBorders>
              <w:top w:val="single" w:sz="4" w:space="0" w:color="auto"/>
              <w:bottom w:val="single" w:sz="4" w:space="0" w:color="auto"/>
            </w:tcBorders>
            <w:shd w:val="clear" w:color="auto" w:fill="auto"/>
            <w:noWrap/>
            <w:vAlign w:val="center"/>
          </w:tcPr>
          <w:p w14:paraId="2B840EDB" w14:textId="77777777" w:rsidR="00722D3D" w:rsidRPr="00FE69AA" w:rsidRDefault="00722D3D"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M. Ambiente</w:t>
            </w:r>
          </w:p>
        </w:tc>
        <w:tc>
          <w:tcPr>
            <w:tcW w:w="1356" w:type="dxa"/>
            <w:gridSpan w:val="2"/>
            <w:tcBorders>
              <w:top w:val="single" w:sz="4" w:space="0" w:color="auto"/>
              <w:bottom w:val="single" w:sz="4" w:space="0" w:color="auto"/>
            </w:tcBorders>
            <w:shd w:val="clear" w:color="auto" w:fill="auto"/>
            <w:vAlign w:val="center"/>
          </w:tcPr>
          <w:p w14:paraId="043AB9E9" w14:textId="77777777" w:rsidR="00722D3D" w:rsidRPr="00FE69AA" w:rsidRDefault="00722D3D"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Agroindustrias</w:t>
            </w:r>
          </w:p>
        </w:tc>
        <w:tc>
          <w:tcPr>
            <w:tcW w:w="1230" w:type="dxa"/>
            <w:tcBorders>
              <w:top w:val="single" w:sz="4" w:space="0" w:color="auto"/>
              <w:bottom w:val="single" w:sz="4" w:space="0" w:color="auto"/>
            </w:tcBorders>
            <w:shd w:val="clear" w:color="auto" w:fill="auto"/>
            <w:noWrap/>
            <w:vAlign w:val="center"/>
          </w:tcPr>
          <w:p w14:paraId="5BFAC4A8" w14:textId="77777777" w:rsidR="00722D3D" w:rsidRPr="00FE69AA" w:rsidRDefault="00722D3D"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M. Ambiente</w:t>
            </w:r>
          </w:p>
        </w:tc>
        <w:tc>
          <w:tcPr>
            <w:tcW w:w="1433" w:type="dxa"/>
            <w:tcBorders>
              <w:top w:val="single" w:sz="4" w:space="0" w:color="auto"/>
              <w:bottom w:val="single" w:sz="4" w:space="0" w:color="auto"/>
            </w:tcBorders>
            <w:shd w:val="clear" w:color="auto" w:fill="auto"/>
            <w:vAlign w:val="center"/>
          </w:tcPr>
          <w:p w14:paraId="3E5756E5" w14:textId="77777777" w:rsidR="00722D3D" w:rsidRPr="00FE69AA" w:rsidRDefault="00722D3D"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Agroindustrias</w:t>
            </w:r>
          </w:p>
        </w:tc>
      </w:tr>
      <w:tr w:rsidR="00722D3D" w14:paraId="1FEFE955" w14:textId="77777777" w:rsidTr="007F00EC">
        <w:trPr>
          <w:trHeight w:val="227"/>
          <w:jc w:val="center"/>
        </w:trPr>
        <w:tc>
          <w:tcPr>
            <w:tcW w:w="1004" w:type="dxa"/>
            <w:tcBorders>
              <w:top w:val="single" w:sz="4" w:space="0" w:color="auto"/>
            </w:tcBorders>
            <w:shd w:val="clear" w:color="auto" w:fill="auto"/>
            <w:noWrap/>
            <w:vAlign w:val="bottom"/>
            <w:hideMark/>
          </w:tcPr>
          <w:p w14:paraId="11081C13" w14:textId="77777777" w:rsidR="00722D3D" w:rsidRDefault="00722D3D"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0 y 6.9</w:t>
            </w:r>
          </w:p>
        </w:tc>
        <w:tc>
          <w:tcPr>
            <w:tcW w:w="1230" w:type="dxa"/>
            <w:gridSpan w:val="2"/>
            <w:tcBorders>
              <w:top w:val="single" w:sz="4" w:space="0" w:color="auto"/>
            </w:tcBorders>
            <w:shd w:val="clear" w:color="auto" w:fill="auto"/>
            <w:noWrap/>
            <w:vAlign w:val="bottom"/>
            <w:hideMark/>
          </w:tcPr>
          <w:p w14:paraId="7F29C5C9" w14:textId="59DCF88F" w:rsidR="00722D3D" w:rsidRDefault="001D5A40"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18</w:t>
            </w:r>
          </w:p>
        </w:tc>
        <w:tc>
          <w:tcPr>
            <w:tcW w:w="1341" w:type="dxa"/>
            <w:tcBorders>
              <w:top w:val="single" w:sz="4" w:space="0" w:color="auto"/>
            </w:tcBorders>
            <w:shd w:val="clear" w:color="auto" w:fill="auto"/>
            <w:noWrap/>
            <w:vAlign w:val="bottom"/>
            <w:hideMark/>
          </w:tcPr>
          <w:p w14:paraId="0095BBC4" w14:textId="42C76E56" w:rsidR="00722D3D" w:rsidRDefault="001D5A40"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20</w:t>
            </w:r>
          </w:p>
        </w:tc>
        <w:tc>
          <w:tcPr>
            <w:tcW w:w="1230" w:type="dxa"/>
            <w:tcBorders>
              <w:top w:val="single" w:sz="4" w:space="0" w:color="auto"/>
            </w:tcBorders>
            <w:shd w:val="clear" w:color="auto" w:fill="auto"/>
            <w:noWrap/>
            <w:vAlign w:val="bottom"/>
            <w:hideMark/>
          </w:tcPr>
          <w:p w14:paraId="0B50F88B" w14:textId="666B1CF1" w:rsidR="00722D3D" w:rsidRDefault="00F85CF2"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81.82</w:t>
            </w:r>
          </w:p>
        </w:tc>
        <w:tc>
          <w:tcPr>
            <w:tcW w:w="1433" w:type="dxa"/>
            <w:tcBorders>
              <w:top w:val="single" w:sz="4" w:space="0" w:color="auto"/>
            </w:tcBorders>
            <w:shd w:val="clear" w:color="auto" w:fill="auto"/>
            <w:noWrap/>
            <w:vAlign w:val="bottom"/>
            <w:hideMark/>
          </w:tcPr>
          <w:p w14:paraId="3C5B91AA" w14:textId="56B27629" w:rsidR="00722D3D" w:rsidRDefault="00F85CF2"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90.91</w:t>
            </w:r>
          </w:p>
        </w:tc>
      </w:tr>
      <w:tr w:rsidR="00722D3D" w14:paraId="61C478AE" w14:textId="77777777" w:rsidTr="007F00EC">
        <w:trPr>
          <w:trHeight w:val="227"/>
          <w:jc w:val="center"/>
        </w:trPr>
        <w:tc>
          <w:tcPr>
            <w:tcW w:w="1004" w:type="dxa"/>
            <w:shd w:val="clear" w:color="auto" w:fill="auto"/>
            <w:noWrap/>
            <w:vAlign w:val="bottom"/>
            <w:hideMark/>
          </w:tcPr>
          <w:p w14:paraId="51D73772" w14:textId="77777777" w:rsidR="00722D3D" w:rsidRDefault="00722D3D"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7.1 y 14</w:t>
            </w:r>
          </w:p>
        </w:tc>
        <w:tc>
          <w:tcPr>
            <w:tcW w:w="1230" w:type="dxa"/>
            <w:gridSpan w:val="2"/>
            <w:shd w:val="clear" w:color="auto" w:fill="auto"/>
            <w:noWrap/>
            <w:vAlign w:val="bottom"/>
            <w:hideMark/>
          </w:tcPr>
          <w:p w14:paraId="4876FAE3" w14:textId="1B58099E" w:rsidR="00722D3D" w:rsidRDefault="001D5A40"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4</w:t>
            </w:r>
          </w:p>
        </w:tc>
        <w:tc>
          <w:tcPr>
            <w:tcW w:w="1341" w:type="dxa"/>
            <w:shd w:val="clear" w:color="auto" w:fill="auto"/>
            <w:noWrap/>
            <w:vAlign w:val="bottom"/>
            <w:hideMark/>
          </w:tcPr>
          <w:p w14:paraId="1783B494" w14:textId="60CB5336" w:rsidR="00722D3D" w:rsidRDefault="001D5A40"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w:t>
            </w:r>
          </w:p>
        </w:tc>
        <w:tc>
          <w:tcPr>
            <w:tcW w:w="1230" w:type="dxa"/>
            <w:shd w:val="clear" w:color="auto" w:fill="auto"/>
            <w:noWrap/>
            <w:vAlign w:val="bottom"/>
            <w:hideMark/>
          </w:tcPr>
          <w:p w14:paraId="32B34AA3" w14:textId="281722A8" w:rsidR="00722D3D" w:rsidRDefault="00F85CF2"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18.18</w:t>
            </w:r>
          </w:p>
        </w:tc>
        <w:tc>
          <w:tcPr>
            <w:tcW w:w="1433" w:type="dxa"/>
            <w:shd w:val="clear" w:color="auto" w:fill="auto"/>
            <w:noWrap/>
            <w:vAlign w:val="bottom"/>
            <w:hideMark/>
          </w:tcPr>
          <w:p w14:paraId="234323E3" w14:textId="42F268BB" w:rsidR="00722D3D" w:rsidRDefault="00F85CF2"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9.09</w:t>
            </w:r>
          </w:p>
        </w:tc>
      </w:tr>
      <w:tr w:rsidR="00722D3D" w14:paraId="01E441DD" w14:textId="77777777" w:rsidTr="007F00EC">
        <w:trPr>
          <w:trHeight w:val="227"/>
          <w:jc w:val="center"/>
        </w:trPr>
        <w:tc>
          <w:tcPr>
            <w:tcW w:w="1004" w:type="dxa"/>
            <w:tcBorders>
              <w:bottom w:val="single" w:sz="4" w:space="0" w:color="auto"/>
            </w:tcBorders>
            <w:shd w:val="clear" w:color="auto" w:fill="auto"/>
            <w:noWrap/>
            <w:vAlign w:val="bottom"/>
            <w:hideMark/>
          </w:tcPr>
          <w:p w14:paraId="49569469" w14:textId="77777777" w:rsidR="00722D3D" w:rsidRPr="003D772D" w:rsidRDefault="00722D3D" w:rsidP="007F00EC">
            <w:pPr>
              <w:spacing w:after="0" w:line="240" w:lineRule="auto"/>
              <w:jc w:val="center"/>
              <w:rPr>
                <w:rFonts w:ascii="Arial Narrow" w:eastAsia="Times New Roman" w:hAnsi="Arial Narrow" w:cs="Times New Roman"/>
                <w:b/>
                <w:bCs/>
                <w:color w:val="000000"/>
                <w:sz w:val="20"/>
                <w:szCs w:val="18"/>
              </w:rPr>
            </w:pPr>
            <w:r w:rsidRPr="003D772D">
              <w:rPr>
                <w:rFonts w:ascii="Arial Narrow" w:eastAsia="Times New Roman" w:hAnsi="Arial Narrow" w:cs="Times New Roman"/>
                <w:b/>
                <w:bCs/>
                <w:color w:val="000000"/>
                <w:sz w:val="20"/>
                <w:szCs w:val="18"/>
              </w:rPr>
              <w:t>Total</w:t>
            </w:r>
          </w:p>
        </w:tc>
        <w:tc>
          <w:tcPr>
            <w:tcW w:w="1230" w:type="dxa"/>
            <w:gridSpan w:val="2"/>
            <w:tcBorders>
              <w:bottom w:val="single" w:sz="4" w:space="0" w:color="auto"/>
            </w:tcBorders>
            <w:shd w:val="clear" w:color="auto" w:fill="auto"/>
            <w:noWrap/>
            <w:vAlign w:val="bottom"/>
            <w:hideMark/>
          </w:tcPr>
          <w:p w14:paraId="19885AE3" w14:textId="77777777" w:rsidR="00722D3D" w:rsidRDefault="00722D3D"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22</w:t>
            </w:r>
          </w:p>
        </w:tc>
        <w:tc>
          <w:tcPr>
            <w:tcW w:w="1341" w:type="dxa"/>
            <w:tcBorders>
              <w:bottom w:val="single" w:sz="4" w:space="0" w:color="auto"/>
            </w:tcBorders>
            <w:shd w:val="clear" w:color="auto" w:fill="auto"/>
            <w:noWrap/>
            <w:vAlign w:val="bottom"/>
            <w:hideMark/>
          </w:tcPr>
          <w:p w14:paraId="1F1368AB" w14:textId="77777777" w:rsidR="00722D3D" w:rsidRDefault="00722D3D"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22</w:t>
            </w:r>
          </w:p>
        </w:tc>
        <w:tc>
          <w:tcPr>
            <w:tcW w:w="1230" w:type="dxa"/>
            <w:tcBorders>
              <w:bottom w:val="single" w:sz="4" w:space="0" w:color="auto"/>
            </w:tcBorders>
            <w:shd w:val="clear" w:color="auto" w:fill="auto"/>
            <w:noWrap/>
            <w:vAlign w:val="bottom"/>
            <w:hideMark/>
          </w:tcPr>
          <w:p w14:paraId="46A3366C" w14:textId="77777777" w:rsidR="00722D3D" w:rsidRDefault="00722D3D"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100.00</w:t>
            </w:r>
          </w:p>
        </w:tc>
        <w:tc>
          <w:tcPr>
            <w:tcW w:w="1433" w:type="dxa"/>
            <w:tcBorders>
              <w:bottom w:val="single" w:sz="4" w:space="0" w:color="auto"/>
            </w:tcBorders>
            <w:shd w:val="clear" w:color="auto" w:fill="auto"/>
            <w:noWrap/>
            <w:vAlign w:val="bottom"/>
            <w:hideMark/>
          </w:tcPr>
          <w:p w14:paraId="7E6B9FF4" w14:textId="77777777" w:rsidR="00722D3D" w:rsidRDefault="00722D3D"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100.00</w:t>
            </w:r>
          </w:p>
        </w:tc>
      </w:tr>
    </w:tbl>
    <w:p w14:paraId="6B49280B" w14:textId="77777777" w:rsidR="00176D69" w:rsidRDefault="00176D69" w:rsidP="00176D69">
      <w:pPr>
        <w:keepNext/>
        <w:spacing w:before="240" w:after="0"/>
        <w:jc w:val="center"/>
      </w:pPr>
      <w:r>
        <w:rPr>
          <w:noProof/>
          <w:lang w:eastAsia="es-EC"/>
        </w:rPr>
        <w:drawing>
          <wp:inline distT="0" distB="0" distL="0" distR="0" wp14:anchorId="33146B80" wp14:editId="3D31A868">
            <wp:extent cx="2771775" cy="1800000"/>
            <wp:effectExtent l="0" t="0" r="9525" b="1016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922EA5" w14:textId="2856D156" w:rsidR="00176D69" w:rsidRDefault="00176D69" w:rsidP="00176D69">
      <w:pPr>
        <w:pStyle w:val="Descripcin"/>
        <w:jc w:val="center"/>
        <w:rPr>
          <w:rFonts w:ascii="Arial Narrow" w:hAnsi="Arial Narrow"/>
          <w:i w:val="0"/>
          <w:iCs w:val="0"/>
          <w:color w:val="0D0D0D" w:themeColor="text1" w:themeTint="F2"/>
          <w:sz w:val="20"/>
          <w:szCs w:val="20"/>
        </w:rPr>
      </w:pPr>
      <w:r w:rsidRPr="006A6746">
        <w:rPr>
          <w:rFonts w:ascii="Arial Narrow" w:hAnsi="Arial Narrow"/>
          <w:b/>
          <w:bCs/>
          <w:i w:val="0"/>
          <w:iCs w:val="0"/>
          <w:color w:val="0D0D0D" w:themeColor="text1" w:themeTint="F2"/>
          <w:sz w:val="20"/>
          <w:szCs w:val="20"/>
        </w:rPr>
        <w:t xml:space="preserve">Figura </w:t>
      </w:r>
      <w:r w:rsidRPr="006A6746">
        <w:rPr>
          <w:rFonts w:ascii="Arial Narrow" w:hAnsi="Arial Narrow"/>
          <w:b/>
          <w:bCs/>
          <w:i w:val="0"/>
          <w:iCs w:val="0"/>
          <w:color w:val="0D0D0D" w:themeColor="text1" w:themeTint="F2"/>
          <w:sz w:val="20"/>
          <w:szCs w:val="20"/>
        </w:rPr>
        <w:fldChar w:fldCharType="begin"/>
      </w:r>
      <w:r w:rsidRPr="006A6746">
        <w:rPr>
          <w:rFonts w:ascii="Arial Narrow" w:hAnsi="Arial Narrow"/>
          <w:b/>
          <w:bCs/>
          <w:i w:val="0"/>
          <w:iCs w:val="0"/>
          <w:color w:val="0D0D0D" w:themeColor="text1" w:themeTint="F2"/>
          <w:sz w:val="20"/>
          <w:szCs w:val="20"/>
        </w:rPr>
        <w:instrText xml:space="preserve"> SEQ Figura \* ARABIC </w:instrText>
      </w:r>
      <w:r w:rsidRPr="006A6746">
        <w:rPr>
          <w:rFonts w:ascii="Arial Narrow" w:hAnsi="Arial Narrow"/>
          <w:b/>
          <w:bCs/>
          <w:i w:val="0"/>
          <w:iCs w:val="0"/>
          <w:color w:val="0D0D0D" w:themeColor="text1" w:themeTint="F2"/>
          <w:sz w:val="20"/>
          <w:szCs w:val="20"/>
        </w:rPr>
        <w:fldChar w:fldCharType="separate"/>
      </w:r>
      <w:r>
        <w:rPr>
          <w:rFonts w:ascii="Arial Narrow" w:hAnsi="Arial Narrow"/>
          <w:b/>
          <w:bCs/>
          <w:i w:val="0"/>
          <w:iCs w:val="0"/>
          <w:noProof/>
          <w:color w:val="0D0D0D" w:themeColor="text1" w:themeTint="F2"/>
          <w:sz w:val="20"/>
          <w:szCs w:val="20"/>
        </w:rPr>
        <w:t>6</w:t>
      </w:r>
      <w:r w:rsidRPr="006A6746">
        <w:rPr>
          <w:rFonts w:ascii="Arial Narrow" w:hAnsi="Arial Narrow"/>
          <w:b/>
          <w:bCs/>
          <w:i w:val="0"/>
          <w:iCs w:val="0"/>
          <w:color w:val="0D0D0D" w:themeColor="text1" w:themeTint="F2"/>
          <w:sz w:val="20"/>
          <w:szCs w:val="20"/>
        </w:rPr>
        <w:fldChar w:fldCharType="end"/>
      </w:r>
      <w:r w:rsidRPr="006A6746">
        <w:rPr>
          <w:rFonts w:ascii="Arial Narrow" w:hAnsi="Arial Narrow"/>
          <w:b/>
          <w:bCs/>
          <w:i w:val="0"/>
          <w:iCs w:val="0"/>
          <w:color w:val="0D0D0D" w:themeColor="text1" w:themeTint="F2"/>
          <w:sz w:val="20"/>
          <w:szCs w:val="20"/>
        </w:rPr>
        <w:t>.</w:t>
      </w:r>
      <w:r w:rsidRPr="006A6746">
        <w:rPr>
          <w:rFonts w:ascii="Arial Narrow" w:hAnsi="Arial Narrow"/>
          <w:i w:val="0"/>
          <w:iCs w:val="0"/>
          <w:color w:val="0D0D0D" w:themeColor="text1" w:themeTint="F2"/>
          <w:sz w:val="20"/>
          <w:szCs w:val="20"/>
        </w:rPr>
        <w:t xml:space="preserve"> </w:t>
      </w:r>
      <w:r>
        <w:rPr>
          <w:rFonts w:ascii="Arial Narrow" w:hAnsi="Arial Narrow"/>
          <w:i w:val="0"/>
          <w:iCs w:val="0"/>
          <w:color w:val="0D0D0D" w:themeColor="text1" w:themeTint="F2"/>
          <w:sz w:val="20"/>
          <w:szCs w:val="20"/>
        </w:rPr>
        <w:t>P</w:t>
      </w:r>
      <w:r w:rsidRPr="0068714E">
        <w:rPr>
          <w:rFonts w:ascii="Arial Narrow" w:hAnsi="Arial Narrow"/>
          <w:i w:val="0"/>
          <w:iCs w:val="0"/>
          <w:color w:val="0D0D0D" w:themeColor="text1" w:themeTint="F2"/>
          <w:sz w:val="20"/>
          <w:szCs w:val="20"/>
        </w:rPr>
        <w:t xml:space="preserve">orcentaje de aciertos en la pregunta </w:t>
      </w:r>
      <w:r w:rsidR="009847CD">
        <w:rPr>
          <w:rFonts w:ascii="Arial Narrow" w:hAnsi="Arial Narrow"/>
          <w:i w:val="0"/>
          <w:iCs w:val="0"/>
          <w:color w:val="0D0D0D" w:themeColor="text1" w:themeTint="F2"/>
          <w:sz w:val="20"/>
          <w:szCs w:val="20"/>
        </w:rPr>
        <w:t>6</w:t>
      </w:r>
      <w:r w:rsidRPr="0068714E">
        <w:rPr>
          <w:rFonts w:ascii="Arial Narrow" w:hAnsi="Arial Narrow"/>
          <w:i w:val="0"/>
          <w:iCs w:val="0"/>
          <w:color w:val="0D0D0D" w:themeColor="text1" w:themeTint="F2"/>
          <w:sz w:val="20"/>
          <w:szCs w:val="20"/>
        </w:rPr>
        <w:t xml:space="preserve"> de</w:t>
      </w:r>
      <w:r>
        <w:rPr>
          <w:rFonts w:ascii="Arial Narrow" w:hAnsi="Arial Narrow"/>
          <w:i w:val="0"/>
          <w:iCs w:val="0"/>
          <w:color w:val="0D0D0D" w:themeColor="text1" w:themeTint="F2"/>
          <w:sz w:val="20"/>
          <w:szCs w:val="20"/>
        </w:rPr>
        <w:t>l instrumento de</w:t>
      </w:r>
      <w:r w:rsidRPr="0068714E">
        <w:rPr>
          <w:rFonts w:ascii="Arial Narrow" w:hAnsi="Arial Narrow"/>
          <w:i w:val="0"/>
          <w:iCs w:val="0"/>
          <w:color w:val="0D0D0D" w:themeColor="text1" w:themeTint="F2"/>
          <w:sz w:val="20"/>
          <w:szCs w:val="20"/>
        </w:rPr>
        <w:t xml:space="preserve"> evaluación.</w:t>
      </w:r>
    </w:p>
    <w:p w14:paraId="44EFD41F" w14:textId="7F4375EE" w:rsidR="00A83594" w:rsidRDefault="00A83594" w:rsidP="00A83594">
      <w:pPr>
        <w:pStyle w:val="Prrafodelista"/>
        <w:numPr>
          <w:ilvl w:val="0"/>
          <w:numId w:val="6"/>
        </w:numPr>
        <w:spacing w:line="360" w:lineRule="auto"/>
        <w:rPr>
          <w:rFonts w:ascii="Arial" w:hAnsi="Arial" w:cs="Arial"/>
          <w:sz w:val="24"/>
          <w:szCs w:val="24"/>
        </w:rPr>
      </w:pPr>
      <w:r w:rsidRPr="00A83594">
        <w:rPr>
          <w:rFonts w:ascii="Arial" w:hAnsi="Arial" w:cs="Arial"/>
          <w:sz w:val="24"/>
          <w:szCs w:val="24"/>
        </w:rPr>
        <w:t>Según la escala de pH, una sustancia neutra es aquella que tiene un valor de:</w:t>
      </w:r>
    </w:p>
    <w:p w14:paraId="11B0DDC6" w14:textId="62AA64D1" w:rsidR="00A83594" w:rsidRPr="0068714E" w:rsidRDefault="00A83594" w:rsidP="00A83594">
      <w:pPr>
        <w:pStyle w:val="Descripcin"/>
        <w:keepNext/>
        <w:spacing w:after="120"/>
        <w:ind w:left="360"/>
        <w:jc w:val="center"/>
        <w:rPr>
          <w:rFonts w:ascii="Arial Narrow" w:hAnsi="Arial Narrow"/>
          <w:i w:val="0"/>
          <w:iCs w:val="0"/>
          <w:color w:val="0D0D0D" w:themeColor="text1" w:themeTint="F2"/>
          <w:sz w:val="20"/>
          <w:szCs w:val="20"/>
        </w:rPr>
      </w:pPr>
      <w:r w:rsidRPr="004064D4">
        <w:rPr>
          <w:rFonts w:ascii="Arial Narrow" w:hAnsi="Arial Narrow"/>
          <w:b/>
          <w:bCs/>
          <w:i w:val="0"/>
          <w:iCs w:val="0"/>
          <w:color w:val="0D0D0D" w:themeColor="text1" w:themeTint="F2"/>
          <w:sz w:val="20"/>
          <w:szCs w:val="20"/>
        </w:rPr>
        <w:t xml:space="preserve">Tabla </w:t>
      </w:r>
      <w:r w:rsidRPr="004064D4">
        <w:rPr>
          <w:rFonts w:ascii="Arial Narrow" w:hAnsi="Arial Narrow"/>
          <w:b/>
          <w:bCs/>
          <w:i w:val="0"/>
          <w:iCs w:val="0"/>
          <w:color w:val="0D0D0D" w:themeColor="text1" w:themeTint="F2"/>
          <w:sz w:val="20"/>
          <w:szCs w:val="20"/>
        </w:rPr>
        <w:fldChar w:fldCharType="begin"/>
      </w:r>
      <w:r w:rsidRPr="004064D4">
        <w:rPr>
          <w:rFonts w:ascii="Arial Narrow" w:hAnsi="Arial Narrow"/>
          <w:b/>
          <w:bCs/>
          <w:i w:val="0"/>
          <w:iCs w:val="0"/>
          <w:color w:val="0D0D0D" w:themeColor="text1" w:themeTint="F2"/>
          <w:sz w:val="20"/>
          <w:szCs w:val="20"/>
        </w:rPr>
        <w:instrText xml:space="preserve"> SEQ Tabla \* ARABIC </w:instrText>
      </w:r>
      <w:r w:rsidRPr="004064D4">
        <w:rPr>
          <w:rFonts w:ascii="Arial Narrow" w:hAnsi="Arial Narrow"/>
          <w:b/>
          <w:bCs/>
          <w:i w:val="0"/>
          <w:iCs w:val="0"/>
          <w:color w:val="0D0D0D" w:themeColor="text1" w:themeTint="F2"/>
          <w:sz w:val="20"/>
          <w:szCs w:val="20"/>
        </w:rPr>
        <w:fldChar w:fldCharType="separate"/>
      </w:r>
      <w:r>
        <w:rPr>
          <w:rFonts w:ascii="Arial Narrow" w:hAnsi="Arial Narrow"/>
          <w:b/>
          <w:bCs/>
          <w:i w:val="0"/>
          <w:iCs w:val="0"/>
          <w:noProof/>
          <w:color w:val="0D0D0D" w:themeColor="text1" w:themeTint="F2"/>
          <w:sz w:val="20"/>
          <w:szCs w:val="20"/>
        </w:rPr>
        <w:t>7</w:t>
      </w:r>
      <w:r w:rsidRPr="004064D4">
        <w:rPr>
          <w:rFonts w:ascii="Arial Narrow" w:hAnsi="Arial Narrow"/>
          <w:b/>
          <w:bCs/>
          <w:i w:val="0"/>
          <w:iCs w:val="0"/>
          <w:color w:val="0D0D0D" w:themeColor="text1" w:themeTint="F2"/>
          <w:sz w:val="20"/>
          <w:szCs w:val="20"/>
        </w:rPr>
        <w:fldChar w:fldCharType="end"/>
      </w:r>
      <w:r>
        <w:rPr>
          <w:rFonts w:ascii="Arial Narrow" w:hAnsi="Arial Narrow"/>
          <w:i w:val="0"/>
          <w:iCs w:val="0"/>
          <w:color w:val="0D0D0D" w:themeColor="text1" w:themeTint="F2"/>
          <w:sz w:val="20"/>
          <w:szCs w:val="20"/>
        </w:rPr>
        <w:t xml:space="preserve">. </w:t>
      </w:r>
      <w:r w:rsidRPr="0068714E">
        <w:rPr>
          <w:rFonts w:ascii="Arial Narrow" w:hAnsi="Arial Narrow"/>
          <w:i w:val="0"/>
          <w:iCs w:val="0"/>
          <w:color w:val="0D0D0D" w:themeColor="text1" w:themeTint="F2"/>
          <w:sz w:val="20"/>
          <w:szCs w:val="20"/>
        </w:rPr>
        <w:t xml:space="preserve">Frecuencia y porcentaje de </w:t>
      </w:r>
      <w:r w:rsidR="00703487">
        <w:rPr>
          <w:rFonts w:ascii="Arial Narrow" w:hAnsi="Arial Narrow"/>
          <w:i w:val="0"/>
          <w:iCs w:val="0"/>
          <w:color w:val="0D0D0D" w:themeColor="text1" w:themeTint="F2"/>
          <w:sz w:val="20"/>
          <w:szCs w:val="20"/>
        </w:rPr>
        <w:t>respuestas</w:t>
      </w:r>
      <w:r w:rsidRPr="0068714E">
        <w:rPr>
          <w:rFonts w:ascii="Arial Narrow" w:hAnsi="Arial Narrow"/>
          <w:i w:val="0"/>
          <w:iCs w:val="0"/>
          <w:color w:val="0D0D0D" w:themeColor="text1" w:themeTint="F2"/>
          <w:sz w:val="20"/>
          <w:szCs w:val="20"/>
        </w:rPr>
        <w:t xml:space="preserve"> en la pregunta</w:t>
      </w:r>
      <w:r>
        <w:rPr>
          <w:rFonts w:ascii="Arial Narrow" w:hAnsi="Arial Narrow"/>
          <w:i w:val="0"/>
          <w:iCs w:val="0"/>
          <w:color w:val="0D0D0D" w:themeColor="text1" w:themeTint="F2"/>
          <w:sz w:val="20"/>
          <w:szCs w:val="20"/>
        </w:rPr>
        <w:t xml:space="preserve"> 7</w:t>
      </w:r>
      <w:r w:rsidRPr="0068714E">
        <w:rPr>
          <w:rFonts w:ascii="Arial Narrow" w:hAnsi="Arial Narrow"/>
          <w:i w:val="0"/>
          <w:iCs w:val="0"/>
          <w:color w:val="0D0D0D" w:themeColor="text1" w:themeTint="F2"/>
          <w:sz w:val="20"/>
          <w:szCs w:val="20"/>
        </w:rPr>
        <w:t xml:space="preserve"> de la evaluación.</w:t>
      </w:r>
    </w:p>
    <w:tbl>
      <w:tblPr>
        <w:tblW w:w="6277" w:type="dxa"/>
        <w:jc w:val="center"/>
        <w:tblCellMar>
          <w:left w:w="70" w:type="dxa"/>
          <w:right w:w="70" w:type="dxa"/>
        </w:tblCellMar>
        <w:tblLook w:val="04A0" w:firstRow="1" w:lastRow="0" w:firstColumn="1" w:lastColumn="0" w:noHBand="0" w:noVBand="1"/>
      </w:tblPr>
      <w:tblGrid>
        <w:gridCol w:w="1043"/>
        <w:gridCol w:w="1215"/>
        <w:gridCol w:w="15"/>
        <w:gridCol w:w="1341"/>
        <w:gridCol w:w="1230"/>
        <w:gridCol w:w="1433"/>
      </w:tblGrid>
      <w:tr w:rsidR="00A83594" w14:paraId="4A9C16AA" w14:textId="77777777" w:rsidTr="00A83594">
        <w:trPr>
          <w:trHeight w:val="227"/>
          <w:jc w:val="center"/>
        </w:trPr>
        <w:tc>
          <w:tcPr>
            <w:tcW w:w="1043" w:type="dxa"/>
            <w:vMerge w:val="restart"/>
            <w:tcBorders>
              <w:top w:val="single" w:sz="4" w:space="0" w:color="auto"/>
            </w:tcBorders>
            <w:shd w:val="clear" w:color="auto" w:fill="auto"/>
            <w:noWrap/>
            <w:vAlign w:val="center"/>
            <w:hideMark/>
          </w:tcPr>
          <w:p w14:paraId="4938AEB3" w14:textId="77777777" w:rsidR="00A83594" w:rsidRPr="00FE69AA" w:rsidRDefault="00A83594" w:rsidP="007F00EC">
            <w:pPr>
              <w:spacing w:after="0" w:line="240" w:lineRule="auto"/>
              <w:jc w:val="center"/>
              <w:rPr>
                <w:rFonts w:ascii="Arial Narrow" w:eastAsia="Times New Roman" w:hAnsi="Arial Narrow" w:cs="Times New Roman"/>
                <w:b/>
                <w:bCs/>
                <w:color w:val="000000"/>
                <w:sz w:val="20"/>
                <w:szCs w:val="18"/>
                <w:lang w:val="es-ES" w:eastAsia="es-ES"/>
              </w:rPr>
            </w:pPr>
            <w:r w:rsidRPr="00FE69AA">
              <w:rPr>
                <w:rFonts w:ascii="Arial Narrow" w:eastAsia="Times New Roman" w:hAnsi="Arial Narrow" w:cs="Times New Roman"/>
                <w:b/>
                <w:bCs/>
                <w:color w:val="000000"/>
                <w:sz w:val="20"/>
                <w:szCs w:val="18"/>
              </w:rPr>
              <w:t>Variables</w:t>
            </w:r>
          </w:p>
        </w:tc>
        <w:tc>
          <w:tcPr>
            <w:tcW w:w="2571" w:type="dxa"/>
            <w:gridSpan w:val="3"/>
            <w:tcBorders>
              <w:top w:val="single" w:sz="4" w:space="0" w:color="auto"/>
              <w:bottom w:val="single" w:sz="4" w:space="0" w:color="auto"/>
            </w:tcBorders>
            <w:shd w:val="clear" w:color="auto" w:fill="auto"/>
            <w:noWrap/>
            <w:vAlign w:val="center"/>
            <w:hideMark/>
          </w:tcPr>
          <w:p w14:paraId="1E92E498" w14:textId="77777777" w:rsidR="00A83594" w:rsidRPr="00FE69AA" w:rsidRDefault="00A83594" w:rsidP="007F00EC">
            <w:pPr>
              <w:spacing w:after="0" w:line="240" w:lineRule="auto"/>
              <w:jc w:val="center"/>
              <w:rPr>
                <w:rFonts w:ascii="Arial Narrow" w:eastAsia="Times New Roman" w:hAnsi="Arial Narrow" w:cs="Times New Roman"/>
                <w:b/>
                <w:bCs/>
                <w:color w:val="000000"/>
                <w:sz w:val="20"/>
                <w:szCs w:val="18"/>
              </w:rPr>
            </w:pPr>
            <w:r w:rsidRPr="00FE69AA">
              <w:rPr>
                <w:rFonts w:ascii="Arial Narrow" w:eastAsia="Times New Roman" w:hAnsi="Arial Narrow" w:cs="Times New Roman"/>
                <w:b/>
                <w:bCs/>
                <w:color w:val="000000"/>
                <w:sz w:val="20"/>
                <w:szCs w:val="18"/>
              </w:rPr>
              <w:t>Frecuencia</w:t>
            </w:r>
          </w:p>
        </w:tc>
        <w:tc>
          <w:tcPr>
            <w:tcW w:w="2663" w:type="dxa"/>
            <w:gridSpan w:val="2"/>
            <w:tcBorders>
              <w:top w:val="single" w:sz="4" w:space="0" w:color="auto"/>
              <w:bottom w:val="single" w:sz="4" w:space="0" w:color="auto"/>
            </w:tcBorders>
            <w:shd w:val="clear" w:color="auto" w:fill="auto"/>
            <w:noWrap/>
            <w:vAlign w:val="center"/>
            <w:hideMark/>
          </w:tcPr>
          <w:p w14:paraId="04584D5A" w14:textId="77777777" w:rsidR="00A83594" w:rsidRPr="00FE69AA" w:rsidRDefault="00A83594" w:rsidP="007F00EC">
            <w:pPr>
              <w:spacing w:after="0" w:line="240" w:lineRule="auto"/>
              <w:jc w:val="center"/>
              <w:rPr>
                <w:rFonts w:ascii="Arial Narrow" w:eastAsia="Times New Roman" w:hAnsi="Arial Narrow" w:cs="Times New Roman"/>
                <w:b/>
                <w:bCs/>
                <w:color w:val="000000"/>
                <w:sz w:val="20"/>
                <w:szCs w:val="18"/>
              </w:rPr>
            </w:pPr>
            <w:r w:rsidRPr="00FE69AA">
              <w:rPr>
                <w:rFonts w:ascii="Arial Narrow" w:eastAsia="Times New Roman" w:hAnsi="Arial Narrow" w:cs="Times New Roman"/>
                <w:b/>
                <w:bCs/>
                <w:color w:val="000000"/>
                <w:sz w:val="20"/>
                <w:szCs w:val="18"/>
              </w:rPr>
              <w:t>Porcentaje</w:t>
            </w:r>
          </w:p>
        </w:tc>
      </w:tr>
      <w:tr w:rsidR="00A83594" w14:paraId="095D6765" w14:textId="77777777" w:rsidTr="00A83594">
        <w:trPr>
          <w:trHeight w:val="227"/>
          <w:jc w:val="center"/>
        </w:trPr>
        <w:tc>
          <w:tcPr>
            <w:tcW w:w="1043" w:type="dxa"/>
            <w:vMerge/>
            <w:tcBorders>
              <w:bottom w:val="single" w:sz="4" w:space="0" w:color="auto"/>
            </w:tcBorders>
            <w:shd w:val="clear" w:color="auto" w:fill="auto"/>
            <w:noWrap/>
            <w:vAlign w:val="center"/>
          </w:tcPr>
          <w:p w14:paraId="611E4E99" w14:textId="77777777" w:rsidR="00A83594" w:rsidRPr="00FE69AA" w:rsidRDefault="00A83594" w:rsidP="007F00EC">
            <w:pPr>
              <w:spacing w:after="0" w:line="240" w:lineRule="auto"/>
              <w:jc w:val="center"/>
              <w:rPr>
                <w:rFonts w:ascii="Arial Narrow" w:eastAsia="Times New Roman" w:hAnsi="Arial Narrow" w:cs="Times New Roman"/>
                <w:b/>
                <w:bCs/>
                <w:color w:val="000000"/>
                <w:sz w:val="20"/>
                <w:szCs w:val="18"/>
              </w:rPr>
            </w:pPr>
          </w:p>
        </w:tc>
        <w:tc>
          <w:tcPr>
            <w:tcW w:w="1215" w:type="dxa"/>
            <w:tcBorders>
              <w:top w:val="single" w:sz="4" w:space="0" w:color="auto"/>
              <w:bottom w:val="single" w:sz="4" w:space="0" w:color="auto"/>
            </w:tcBorders>
            <w:shd w:val="clear" w:color="auto" w:fill="auto"/>
            <w:noWrap/>
            <w:vAlign w:val="center"/>
          </w:tcPr>
          <w:p w14:paraId="62BA316D" w14:textId="77777777" w:rsidR="00A83594" w:rsidRPr="00FE69AA" w:rsidRDefault="00A83594"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M. Ambiente</w:t>
            </w:r>
          </w:p>
        </w:tc>
        <w:tc>
          <w:tcPr>
            <w:tcW w:w="1356" w:type="dxa"/>
            <w:gridSpan w:val="2"/>
            <w:tcBorders>
              <w:top w:val="single" w:sz="4" w:space="0" w:color="auto"/>
              <w:bottom w:val="single" w:sz="4" w:space="0" w:color="auto"/>
            </w:tcBorders>
            <w:shd w:val="clear" w:color="auto" w:fill="auto"/>
            <w:vAlign w:val="center"/>
          </w:tcPr>
          <w:p w14:paraId="1C070761" w14:textId="77777777" w:rsidR="00A83594" w:rsidRPr="00FE69AA" w:rsidRDefault="00A83594"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Agroindustrias</w:t>
            </w:r>
          </w:p>
        </w:tc>
        <w:tc>
          <w:tcPr>
            <w:tcW w:w="1230" w:type="dxa"/>
            <w:tcBorders>
              <w:top w:val="single" w:sz="4" w:space="0" w:color="auto"/>
              <w:bottom w:val="single" w:sz="4" w:space="0" w:color="auto"/>
            </w:tcBorders>
            <w:shd w:val="clear" w:color="auto" w:fill="auto"/>
            <w:noWrap/>
            <w:vAlign w:val="center"/>
          </w:tcPr>
          <w:p w14:paraId="54B2D37A" w14:textId="77777777" w:rsidR="00A83594" w:rsidRPr="00FE69AA" w:rsidRDefault="00A83594"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M. Ambiente</w:t>
            </w:r>
          </w:p>
        </w:tc>
        <w:tc>
          <w:tcPr>
            <w:tcW w:w="1433" w:type="dxa"/>
            <w:tcBorders>
              <w:top w:val="single" w:sz="4" w:space="0" w:color="auto"/>
              <w:bottom w:val="single" w:sz="4" w:space="0" w:color="auto"/>
            </w:tcBorders>
            <w:shd w:val="clear" w:color="auto" w:fill="auto"/>
            <w:vAlign w:val="center"/>
          </w:tcPr>
          <w:p w14:paraId="6B67D4D9" w14:textId="77777777" w:rsidR="00A83594" w:rsidRPr="00FE69AA" w:rsidRDefault="00A83594"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Agroindustrias</w:t>
            </w:r>
          </w:p>
        </w:tc>
      </w:tr>
      <w:tr w:rsidR="00A83594" w14:paraId="24613A97" w14:textId="77777777" w:rsidTr="00592DAF">
        <w:trPr>
          <w:trHeight w:val="227"/>
          <w:jc w:val="center"/>
        </w:trPr>
        <w:tc>
          <w:tcPr>
            <w:tcW w:w="1043" w:type="dxa"/>
            <w:tcBorders>
              <w:top w:val="single" w:sz="4" w:space="0" w:color="auto"/>
            </w:tcBorders>
            <w:shd w:val="clear" w:color="auto" w:fill="auto"/>
            <w:noWrap/>
            <w:vAlign w:val="bottom"/>
            <w:hideMark/>
          </w:tcPr>
          <w:p w14:paraId="5F544A28" w14:textId="2E621C2A" w:rsidR="00A83594" w:rsidRPr="00A83594" w:rsidRDefault="00A83594" w:rsidP="004469E1">
            <w:pPr>
              <w:pStyle w:val="Prrafodelista"/>
              <w:numPr>
                <w:ilvl w:val="0"/>
                <w:numId w:val="11"/>
              </w:numPr>
              <w:spacing w:after="0" w:line="240" w:lineRule="auto"/>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0</w:t>
            </w:r>
          </w:p>
        </w:tc>
        <w:tc>
          <w:tcPr>
            <w:tcW w:w="1230" w:type="dxa"/>
            <w:gridSpan w:val="2"/>
            <w:tcBorders>
              <w:top w:val="single" w:sz="4" w:space="0" w:color="auto"/>
            </w:tcBorders>
            <w:shd w:val="clear" w:color="auto" w:fill="auto"/>
            <w:noWrap/>
            <w:hideMark/>
          </w:tcPr>
          <w:p w14:paraId="3FADD0C6" w14:textId="3DD72F3D" w:rsidR="00A83594" w:rsidRDefault="00A83594" w:rsidP="00A83594">
            <w:pPr>
              <w:spacing w:after="0" w:line="240" w:lineRule="auto"/>
              <w:jc w:val="center"/>
              <w:rPr>
                <w:rFonts w:ascii="Arial Narrow" w:eastAsia="Times New Roman" w:hAnsi="Arial Narrow" w:cs="Times New Roman"/>
                <w:color w:val="000000"/>
                <w:sz w:val="20"/>
                <w:szCs w:val="18"/>
              </w:rPr>
            </w:pPr>
            <w:r w:rsidRPr="00303F47">
              <w:rPr>
                <w:rFonts w:ascii="Arial Narrow" w:eastAsia="Times New Roman" w:hAnsi="Arial Narrow" w:cs="Times New Roman"/>
                <w:color w:val="000000"/>
                <w:sz w:val="20"/>
                <w:szCs w:val="18"/>
              </w:rPr>
              <w:t>0</w:t>
            </w:r>
          </w:p>
        </w:tc>
        <w:tc>
          <w:tcPr>
            <w:tcW w:w="1341" w:type="dxa"/>
            <w:tcBorders>
              <w:top w:val="single" w:sz="4" w:space="0" w:color="auto"/>
            </w:tcBorders>
            <w:shd w:val="clear" w:color="auto" w:fill="auto"/>
            <w:noWrap/>
            <w:hideMark/>
          </w:tcPr>
          <w:p w14:paraId="0A2F1985" w14:textId="0466FFD6" w:rsidR="00A83594" w:rsidRDefault="00A83594" w:rsidP="00A83594">
            <w:pPr>
              <w:spacing w:after="0" w:line="240" w:lineRule="auto"/>
              <w:jc w:val="center"/>
              <w:rPr>
                <w:rFonts w:ascii="Arial Narrow" w:eastAsia="Times New Roman" w:hAnsi="Arial Narrow" w:cs="Times New Roman"/>
                <w:color w:val="000000"/>
                <w:sz w:val="20"/>
                <w:szCs w:val="18"/>
              </w:rPr>
            </w:pPr>
            <w:r w:rsidRPr="00303F47">
              <w:rPr>
                <w:rFonts w:ascii="Arial Narrow" w:eastAsia="Times New Roman" w:hAnsi="Arial Narrow" w:cs="Times New Roman"/>
                <w:color w:val="000000"/>
                <w:sz w:val="20"/>
                <w:szCs w:val="18"/>
              </w:rPr>
              <w:t>0</w:t>
            </w:r>
          </w:p>
        </w:tc>
        <w:tc>
          <w:tcPr>
            <w:tcW w:w="1230" w:type="dxa"/>
            <w:tcBorders>
              <w:top w:val="single" w:sz="4" w:space="0" w:color="auto"/>
            </w:tcBorders>
            <w:shd w:val="clear" w:color="auto" w:fill="auto"/>
            <w:noWrap/>
            <w:hideMark/>
          </w:tcPr>
          <w:p w14:paraId="4BF2B1C6" w14:textId="30D8208C" w:rsidR="00A83594" w:rsidRDefault="00A83594" w:rsidP="00A83594">
            <w:pPr>
              <w:spacing w:after="0" w:line="240" w:lineRule="auto"/>
              <w:jc w:val="center"/>
              <w:rPr>
                <w:rFonts w:ascii="Arial Narrow" w:eastAsia="Times New Roman" w:hAnsi="Arial Narrow" w:cs="Times New Roman"/>
                <w:color w:val="000000"/>
                <w:sz w:val="20"/>
                <w:szCs w:val="18"/>
              </w:rPr>
            </w:pPr>
            <w:r w:rsidRPr="00A15C54">
              <w:rPr>
                <w:rFonts w:ascii="Arial Narrow" w:eastAsia="Times New Roman" w:hAnsi="Arial Narrow" w:cs="Times New Roman"/>
                <w:color w:val="000000"/>
                <w:sz w:val="20"/>
                <w:szCs w:val="18"/>
              </w:rPr>
              <w:t>0.00</w:t>
            </w:r>
          </w:p>
        </w:tc>
        <w:tc>
          <w:tcPr>
            <w:tcW w:w="1433" w:type="dxa"/>
            <w:tcBorders>
              <w:top w:val="single" w:sz="4" w:space="0" w:color="auto"/>
            </w:tcBorders>
            <w:shd w:val="clear" w:color="auto" w:fill="auto"/>
            <w:noWrap/>
            <w:hideMark/>
          </w:tcPr>
          <w:p w14:paraId="389AC415" w14:textId="78FF9503" w:rsidR="00A83594" w:rsidRDefault="00A83594" w:rsidP="00A83594">
            <w:pPr>
              <w:spacing w:after="0" w:line="240" w:lineRule="auto"/>
              <w:jc w:val="center"/>
              <w:rPr>
                <w:rFonts w:ascii="Arial Narrow" w:eastAsia="Times New Roman" w:hAnsi="Arial Narrow" w:cs="Times New Roman"/>
                <w:color w:val="000000"/>
                <w:sz w:val="20"/>
                <w:szCs w:val="18"/>
              </w:rPr>
            </w:pPr>
            <w:r w:rsidRPr="00A15C54">
              <w:rPr>
                <w:rFonts w:ascii="Arial Narrow" w:eastAsia="Times New Roman" w:hAnsi="Arial Narrow" w:cs="Times New Roman"/>
                <w:color w:val="000000"/>
                <w:sz w:val="20"/>
                <w:szCs w:val="18"/>
              </w:rPr>
              <w:t>0.00</w:t>
            </w:r>
          </w:p>
        </w:tc>
      </w:tr>
      <w:tr w:rsidR="00A83594" w14:paraId="3D2DDDA3" w14:textId="77777777" w:rsidTr="00592DAF">
        <w:trPr>
          <w:trHeight w:val="227"/>
          <w:jc w:val="center"/>
        </w:trPr>
        <w:tc>
          <w:tcPr>
            <w:tcW w:w="1043" w:type="dxa"/>
            <w:shd w:val="clear" w:color="auto" w:fill="auto"/>
            <w:noWrap/>
            <w:vAlign w:val="bottom"/>
            <w:hideMark/>
          </w:tcPr>
          <w:p w14:paraId="411167FB" w14:textId="6157705B" w:rsidR="00A83594" w:rsidRPr="00A83594" w:rsidRDefault="00A83594" w:rsidP="004469E1">
            <w:pPr>
              <w:pStyle w:val="Prrafodelista"/>
              <w:numPr>
                <w:ilvl w:val="0"/>
                <w:numId w:val="11"/>
              </w:numPr>
              <w:spacing w:after="0" w:line="240" w:lineRule="auto"/>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14</w:t>
            </w:r>
          </w:p>
        </w:tc>
        <w:tc>
          <w:tcPr>
            <w:tcW w:w="1230" w:type="dxa"/>
            <w:gridSpan w:val="2"/>
            <w:shd w:val="clear" w:color="auto" w:fill="auto"/>
            <w:noWrap/>
            <w:hideMark/>
          </w:tcPr>
          <w:p w14:paraId="53CED9B4" w14:textId="3017B92F" w:rsidR="00A83594" w:rsidRDefault="00A83594" w:rsidP="00A83594">
            <w:pPr>
              <w:spacing w:after="0" w:line="240" w:lineRule="auto"/>
              <w:jc w:val="center"/>
              <w:rPr>
                <w:rFonts w:ascii="Arial Narrow" w:eastAsia="Times New Roman" w:hAnsi="Arial Narrow" w:cs="Times New Roman"/>
                <w:color w:val="000000"/>
                <w:sz w:val="20"/>
                <w:szCs w:val="18"/>
              </w:rPr>
            </w:pPr>
            <w:r w:rsidRPr="00303F47">
              <w:rPr>
                <w:rFonts w:ascii="Arial Narrow" w:eastAsia="Times New Roman" w:hAnsi="Arial Narrow" w:cs="Times New Roman"/>
                <w:color w:val="000000"/>
                <w:sz w:val="20"/>
                <w:szCs w:val="18"/>
              </w:rPr>
              <w:t>0</w:t>
            </w:r>
          </w:p>
        </w:tc>
        <w:tc>
          <w:tcPr>
            <w:tcW w:w="1341" w:type="dxa"/>
            <w:shd w:val="clear" w:color="auto" w:fill="auto"/>
            <w:noWrap/>
            <w:hideMark/>
          </w:tcPr>
          <w:p w14:paraId="4182C035" w14:textId="5E67AD25" w:rsidR="00A83594" w:rsidRDefault="00A83594" w:rsidP="00A83594">
            <w:pPr>
              <w:spacing w:after="0" w:line="240" w:lineRule="auto"/>
              <w:jc w:val="center"/>
              <w:rPr>
                <w:rFonts w:ascii="Arial Narrow" w:eastAsia="Times New Roman" w:hAnsi="Arial Narrow" w:cs="Times New Roman"/>
                <w:color w:val="000000"/>
                <w:sz w:val="20"/>
                <w:szCs w:val="18"/>
              </w:rPr>
            </w:pPr>
            <w:r w:rsidRPr="00303F47">
              <w:rPr>
                <w:rFonts w:ascii="Arial Narrow" w:eastAsia="Times New Roman" w:hAnsi="Arial Narrow" w:cs="Times New Roman"/>
                <w:color w:val="000000"/>
                <w:sz w:val="20"/>
                <w:szCs w:val="18"/>
              </w:rPr>
              <w:t>0</w:t>
            </w:r>
          </w:p>
        </w:tc>
        <w:tc>
          <w:tcPr>
            <w:tcW w:w="1230" w:type="dxa"/>
            <w:shd w:val="clear" w:color="auto" w:fill="auto"/>
            <w:noWrap/>
            <w:hideMark/>
          </w:tcPr>
          <w:p w14:paraId="501487B8" w14:textId="41AE7191" w:rsidR="00A83594" w:rsidRDefault="00A83594" w:rsidP="00A83594">
            <w:pPr>
              <w:spacing w:after="0" w:line="240" w:lineRule="auto"/>
              <w:jc w:val="center"/>
              <w:rPr>
                <w:rFonts w:ascii="Arial Narrow" w:eastAsia="Times New Roman" w:hAnsi="Arial Narrow" w:cs="Times New Roman"/>
                <w:color w:val="000000"/>
                <w:sz w:val="20"/>
                <w:szCs w:val="18"/>
              </w:rPr>
            </w:pPr>
            <w:r w:rsidRPr="00A15C54">
              <w:rPr>
                <w:rFonts w:ascii="Arial Narrow" w:eastAsia="Times New Roman" w:hAnsi="Arial Narrow" w:cs="Times New Roman"/>
                <w:color w:val="000000"/>
                <w:sz w:val="20"/>
                <w:szCs w:val="18"/>
              </w:rPr>
              <w:t>0.00</w:t>
            </w:r>
          </w:p>
        </w:tc>
        <w:tc>
          <w:tcPr>
            <w:tcW w:w="1433" w:type="dxa"/>
            <w:shd w:val="clear" w:color="auto" w:fill="auto"/>
            <w:noWrap/>
            <w:hideMark/>
          </w:tcPr>
          <w:p w14:paraId="3EA78F36" w14:textId="47305BA8" w:rsidR="00A83594" w:rsidRDefault="00A83594" w:rsidP="00A83594">
            <w:pPr>
              <w:spacing w:after="0" w:line="240" w:lineRule="auto"/>
              <w:jc w:val="center"/>
              <w:rPr>
                <w:rFonts w:ascii="Arial Narrow" w:eastAsia="Times New Roman" w:hAnsi="Arial Narrow" w:cs="Times New Roman"/>
                <w:color w:val="000000"/>
                <w:sz w:val="20"/>
                <w:szCs w:val="18"/>
              </w:rPr>
            </w:pPr>
            <w:r w:rsidRPr="00A15C54">
              <w:rPr>
                <w:rFonts w:ascii="Arial Narrow" w:eastAsia="Times New Roman" w:hAnsi="Arial Narrow" w:cs="Times New Roman"/>
                <w:color w:val="000000"/>
                <w:sz w:val="20"/>
                <w:szCs w:val="18"/>
              </w:rPr>
              <w:t>0.00</w:t>
            </w:r>
          </w:p>
        </w:tc>
      </w:tr>
      <w:tr w:rsidR="00A83594" w14:paraId="0440B785" w14:textId="77777777" w:rsidTr="00592DAF">
        <w:trPr>
          <w:trHeight w:val="227"/>
          <w:jc w:val="center"/>
        </w:trPr>
        <w:tc>
          <w:tcPr>
            <w:tcW w:w="1043" w:type="dxa"/>
            <w:shd w:val="clear" w:color="auto" w:fill="auto"/>
            <w:noWrap/>
            <w:vAlign w:val="bottom"/>
          </w:tcPr>
          <w:p w14:paraId="71638D93" w14:textId="1758CDCF" w:rsidR="00A83594" w:rsidRDefault="00A83594" w:rsidP="004469E1">
            <w:pPr>
              <w:pStyle w:val="Prrafodelista"/>
              <w:numPr>
                <w:ilvl w:val="0"/>
                <w:numId w:val="11"/>
              </w:numPr>
              <w:spacing w:after="0" w:line="240" w:lineRule="auto"/>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15</w:t>
            </w:r>
          </w:p>
        </w:tc>
        <w:tc>
          <w:tcPr>
            <w:tcW w:w="1230" w:type="dxa"/>
            <w:gridSpan w:val="2"/>
            <w:shd w:val="clear" w:color="auto" w:fill="auto"/>
            <w:noWrap/>
          </w:tcPr>
          <w:p w14:paraId="133B41E2" w14:textId="19281A4B" w:rsidR="00A83594" w:rsidRDefault="00A83594" w:rsidP="00A83594">
            <w:pPr>
              <w:spacing w:after="0" w:line="240" w:lineRule="auto"/>
              <w:jc w:val="center"/>
              <w:rPr>
                <w:rFonts w:ascii="Arial Narrow" w:eastAsia="Times New Roman" w:hAnsi="Arial Narrow" w:cs="Times New Roman"/>
                <w:color w:val="000000"/>
                <w:sz w:val="20"/>
                <w:szCs w:val="18"/>
              </w:rPr>
            </w:pPr>
            <w:r w:rsidRPr="00303F47">
              <w:rPr>
                <w:rFonts w:ascii="Arial Narrow" w:eastAsia="Times New Roman" w:hAnsi="Arial Narrow" w:cs="Times New Roman"/>
                <w:color w:val="000000"/>
                <w:sz w:val="20"/>
                <w:szCs w:val="18"/>
              </w:rPr>
              <w:t>0</w:t>
            </w:r>
          </w:p>
        </w:tc>
        <w:tc>
          <w:tcPr>
            <w:tcW w:w="1341" w:type="dxa"/>
            <w:shd w:val="clear" w:color="auto" w:fill="auto"/>
            <w:noWrap/>
          </w:tcPr>
          <w:p w14:paraId="635B29C8" w14:textId="4A6A53B6" w:rsidR="00A83594" w:rsidRDefault="00A83594" w:rsidP="00A83594">
            <w:pPr>
              <w:spacing w:after="0" w:line="240" w:lineRule="auto"/>
              <w:jc w:val="center"/>
              <w:rPr>
                <w:rFonts w:ascii="Arial Narrow" w:eastAsia="Times New Roman" w:hAnsi="Arial Narrow" w:cs="Times New Roman"/>
                <w:color w:val="000000"/>
                <w:sz w:val="20"/>
                <w:szCs w:val="18"/>
              </w:rPr>
            </w:pPr>
            <w:r w:rsidRPr="00303F47">
              <w:rPr>
                <w:rFonts w:ascii="Arial Narrow" w:eastAsia="Times New Roman" w:hAnsi="Arial Narrow" w:cs="Times New Roman"/>
                <w:color w:val="000000"/>
                <w:sz w:val="20"/>
                <w:szCs w:val="18"/>
              </w:rPr>
              <w:t>0</w:t>
            </w:r>
          </w:p>
        </w:tc>
        <w:tc>
          <w:tcPr>
            <w:tcW w:w="1230" w:type="dxa"/>
            <w:shd w:val="clear" w:color="auto" w:fill="auto"/>
            <w:noWrap/>
          </w:tcPr>
          <w:p w14:paraId="3B5EBDB7" w14:textId="5C479F1E" w:rsidR="00A83594" w:rsidRDefault="00A83594" w:rsidP="00A83594">
            <w:pPr>
              <w:spacing w:after="0" w:line="240" w:lineRule="auto"/>
              <w:jc w:val="center"/>
              <w:rPr>
                <w:rFonts w:ascii="Arial Narrow" w:eastAsia="Times New Roman" w:hAnsi="Arial Narrow" w:cs="Times New Roman"/>
                <w:color w:val="000000"/>
                <w:sz w:val="20"/>
                <w:szCs w:val="18"/>
              </w:rPr>
            </w:pPr>
            <w:r w:rsidRPr="00A15C54">
              <w:rPr>
                <w:rFonts w:ascii="Arial Narrow" w:eastAsia="Times New Roman" w:hAnsi="Arial Narrow" w:cs="Times New Roman"/>
                <w:color w:val="000000"/>
                <w:sz w:val="20"/>
                <w:szCs w:val="18"/>
              </w:rPr>
              <w:t>0.00</w:t>
            </w:r>
          </w:p>
        </w:tc>
        <w:tc>
          <w:tcPr>
            <w:tcW w:w="1433" w:type="dxa"/>
            <w:shd w:val="clear" w:color="auto" w:fill="auto"/>
            <w:noWrap/>
          </w:tcPr>
          <w:p w14:paraId="3CA0EA13" w14:textId="25390F34" w:rsidR="00A83594" w:rsidRDefault="00A83594" w:rsidP="00A83594">
            <w:pPr>
              <w:spacing w:after="0" w:line="240" w:lineRule="auto"/>
              <w:jc w:val="center"/>
              <w:rPr>
                <w:rFonts w:ascii="Arial Narrow" w:eastAsia="Times New Roman" w:hAnsi="Arial Narrow" w:cs="Times New Roman"/>
                <w:color w:val="000000"/>
                <w:sz w:val="20"/>
                <w:szCs w:val="18"/>
              </w:rPr>
            </w:pPr>
            <w:r w:rsidRPr="00A15C54">
              <w:rPr>
                <w:rFonts w:ascii="Arial Narrow" w:eastAsia="Times New Roman" w:hAnsi="Arial Narrow" w:cs="Times New Roman"/>
                <w:color w:val="000000"/>
                <w:sz w:val="20"/>
                <w:szCs w:val="18"/>
              </w:rPr>
              <w:t>0.00</w:t>
            </w:r>
          </w:p>
        </w:tc>
      </w:tr>
      <w:tr w:rsidR="00A83594" w14:paraId="2FFB3E68" w14:textId="77777777" w:rsidTr="00796087">
        <w:trPr>
          <w:trHeight w:val="227"/>
          <w:jc w:val="center"/>
        </w:trPr>
        <w:tc>
          <w:tcPr>
            <w:tcW w:w="1043" w:type="dxa"/>
            <w:shd w:val="clear" w:color="auto" w:fill="auto"/>
            <w:noWrap/>
            <w:vAlign w:val="bottom"/>
          </w:tcPr>
          <w:p w14:paraId="41CD09E9" w14:textId="44DC35F2" w:rsidR="00A83594" w:rsidRDefault="00A83594" w:rsidP="004469E1">
            <w:pPr>
              <w:pStyle w:val="Prrafodelista"/>
              <w:numPr>
                <w:ilvl w:val="0"/>
                <w:numId w:val="11"/>
              </w:numPr>
              <w:spacing w:after="0" w:line="240" w:lineRule="auto"/>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7</w:t>
            </w:r>
          </w:p>
        </w:tc>
        <w:tc>
          <w:tcPr>
            <w:tcW w:w="1230" w:type="dxa"/>
            <w:gridSpan w:val="2"/>
            <w:shd w:val="clear" w:color="auto" w:fill="auto"/>
            <w:noWrap/>
          </w:tcPr>
          <w:p w14:paraId="72020A01" w14:textId="34D39AE2" w:rsidR="00A83594" w:rsidRDefault="00A83594" w:rsidP="00A83594">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22</w:t>
            </w:r>
          </w:p>
        </w:tc>
        <w:tc>
          <w:tcPr>
            <w:tcW w:w="1341" w:type="dxa"/>
            <w:shd w:val="clear" w:color="auto" w:fill="auto"/>
            <w:noWrap/>
          </w:tcPr>
          <w:p w14:paraId="5346CAD0" w14:textId="4C0388B0" w:rsidR="00A83594" w:rsidRDefault="00A83594" w:rsidP="00A83594">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22</w:t>
            </w:r>
          </w:p>
        </w:tc>
        <w:tc>
          <w:tcPr>
            <w:tcW w:w="1230" w:type="dxa"/>
            <w:shd w:val="clear" w:color="auto" w:fill="auto"/>
            <w:noWrap/>
          </w:tcPr>
          <w:p w14:paraId="5DDF708B" w14:textId="5A6FE09C" w:rsidR="00A83594" w:rsidRDefault="00A83594" w:rsidP="00A83594">
            <w:pPr>
              <w:spacing w:after="0" w:line="240" w:lineRule="auto"/>
              <w:jc w:val="center"/>
              <w:rPr>
                <w:rFonts w:ascii="Arial Narrow" w:eastAsia="Times New Roman" w:hAnsi="Arial Narrow" w:cs="Times New Roman"/>
                <w:color w:val="000000"/>
                <w:sz w:val="20"/>
                <w:szCs w:val="18"/>
              </w:rPr>
            </w:pPr>
            <w:r w:rsidRPr="008448B5">
              <w:rPr>
                <w:rFonts w:ascii="Arial Narrow" w:eastAsia="Times New Roman" w:hAnsi="Arial Narrow" w:cs="Times New Roman"/>
                <w:color w:val="000000"/>
                <w:sz w:val="20"/>
                <w:szCs w:val="18"/>
              </w:rPr>
              <w:t>100.00</w:t>
            </w:r>
          </w:p>
        </w:tc>
        <w:tc>
          <w:tcPr>
            <w:tcW w:w="1433" w:type="dxa"/>
            <w:shd w:val="clear" w:color="auto" w:fill="auto"/>
            <w:noWrap/>
          </w:tcPr>
          <w:p w14:paraId="5FED5C4F" w14:textId="1108B57D" w:rsidR="00A83594" w:rsidRDefault="00A83594" w:rsidP="00A83594">
            <w:pPr>
              <w:spacing w:after="0" w:line="240" w:lineRule="auto"/>
              <w:jc w:val="center"/>
              <w:rPr>
                <w:rFonts w:ascii="Arial Narrow" w:eastAsia="Times New Roman" w:hAnsi="Arial Narrow" w:cs="Times New Roman"/>
                <w:color w:val="000000"/>
                <w:sz w:val="20"/>
                <w:szCs w:val="18"/>
              </w:rPr>
            </w:pPr>
            <w:r w:rsidRPr="008448B5">
              <w:rPr>
                <w:rFonts w:ascii="Arial Narrow" w:eastAsia="Times New Roman" w:hAnsi="Arial Narrow" w:cs="Times New Roman"/>
                <w:color w:val="000000"/>
                <w:sz w:val="20"/>
                <w:szCs w:val="18"/>
              </w:rPr>
              <w:t>100.00</w:t>
            </w:r>
          </w:p>
        </w:tc>
      </w:tr>
      <w:tr w:rsidR="00A83594" w14:paraId="1B5619B1" w14:textId="77777777" w:rsidTr="00A83594">
        <w:trPr>
          <w:trHeight w:val="227"/>
          <w:jc w:val="center"/>
        </w:trPr>
        <w:tc>
          <w:tcPr>
            <w:tcW w:w="1043" w:type="dxa"/>
            <w:tcBorders>
              <w:bottom w:val="single" w:sz="4" w:space="0" w:color="auto"/>
            </w:tcBorders>
            <w:shd w:val="clear" w:color="auto" w:fill="auto"/>
            <w:noWrap/>
            <w:vAlign w:val="bottom"/>
            <w:hideMark/>
          </w:tcPr>
          <w:p w14:paraId="239C99F2" w14:textId="77777777" w:rsidR="00A83594" w:rsidRPr="003D772D" w:rsidRDefault="00A83594" w:rsidP="007F00EC">
            <w:pPr>
              <w:spacing w:after="0" w:line="240" w:lineRule="auto"/>
              <w:jc w:val="center"/>
              <w:rPr>
                <w:rFonts w:ascii="Arial Narrow" w:eastAsia="Times New Roman" w:hAnsi="Arial Narrow" w:cs="Times New Roman"/>
                <w:b/>
                <w:bCs/>
                <w:color w:val="000000"/>
                <w:sz w:val="20"/>
                <w:szCs w:val="18"/>
              </w:rPr>
            </w:pPr>
            <w:r w:rsidRPr="003D772D">
              <w:rPr>
                <w:rFonts w:ascii="Arial Narrow" w:eastAsia="Times New Roman" w:hAnsi="Arial Narrow" w:cs="Times New Roman"/>
                <w:b/>
                <w:bCs/>
                <w:color w:val="000000"/>
                <w:sz w:val="20"/>
                <w:szCs w:val="18"/>
              </w:rPr>
              <w:t>Total</w:t>
            </w:r>
          </w:p>
        </w:tc>
        <w:tc>
          <w:tcPr>
            <w:tcW w:w="1230" w:type="dxa"/>
            <w:gridSpan w:val="2"/>
            <w:tcBorders>
              <w:bottom w:val="single" w:sz="4" w:space="0" w:color="auto"/>
            </w:tcBorders>
            <w:shd w:val="clear" w:color="auto" w:fill="auto"/>
            <w:noWrap/>
            <w:vAlign w:val="bottom"/>
            <w:hideMark/>
          </w:tcPr>
          <w:p w14:paraId="49CAA9B0" w14:textId="77777777" w:rsidR="00A83594" w:rsidRDefault="00A83594"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22</w:t>
            </w:r>
          </w:p>
        </w:tc>
        <w:tc>
          <w:tcPr>
            <w:tcW w:w="1341" w:type="dxa"/>
            <w:tcBorders>
              <w:bottom w:val="single" w:sz="4" w:space="0" w:color="auto"/>
            </w:tcBorders>
            <w:shd w:val="clear" w:color="auto" w:fill="auto"/>
            <w:noWrap/>
            <w:vAlign w:val="bottom"/>
            <w:hideMark/>
          </w:tcPr>
          <w:p w14:paraId="7EDC976E" w14:textId="77777777" w:rsidR="00A83594" w:rsidRDefault="00A83594"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22</w:t>
            </w:r>
          </w:p>
        </w:tc>
        <w:tc>
          <w:tcPr>
            <w:tcW w:w="1230" w:type="dxa"/>
            <w:tcBorders>
              <w:bottom w:val="single" w:sz="4" w:space="0" w:color="auto"/>
            </w:tcBorders>
            <w:shd w:val="clear" w:color="auto" w:fill="auto"/>
            <w:noWrap/>
            <w:vAlign w:val="bottom"/>
            <w:hideMark/>
          </w:tcPr>
          <w:p w14:paraId="6FAA56A3" w14:textId="77777777" w:rsidR="00A83594" w:rsidRDefault="00A83594"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100.00</w:t>
            </w:r>
          </w:p>
        </w:tc>
        <w:tc>
          <w:tcPr>
            <w:tcW w:w="1433" w:type="dxa"/>
            <w:tcBorders>
              <w:bottom w:val="single" w:sz="4" w:space="0" w:color="auto"/>
            </w:tcBorders>
            <w:shd w:val="clear" w:color="auto" w:fill="auto"/>
            <w:noWrap/>
            <w:vAlign w:val="bottom"/>
            <w:hideMark/>
          </w:tcPr>
          <w:p w14:paraId="74CA98D5" w14:textId="77777777" w:rsidR="00A83594" w:rsidRDefault="00A83594"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100.00</w:t>
            </w:r>
          </w:p>
        </w:tc>
      </w:tr>
    </w:tbl>
    <w:p w14:paraId="1D8AEF11" w14:textId="2945B7BB" w:rsidR="005F0B9C" w:rsidRDefault="005F0B9C" w:rsidP="009B6762">
      <w:pPr>
        <w:tabs>
          <w:tab w:val="left" w:pos="5850"/>
        </w:tabs>
        <w:spacing w:before="240" w:after="0"/>
        <w:jc w:val="center"/>
      </w:pPr>
      <w:r>
        <w:rPr>
          <w:noProof/>
          <w:lang w:eastAsia="es-EC"/>
        </w:rPr>
        <w:lastRenderedPageBreak/>
        <w:drawing>
          <wp:inline distT="0" distB="0" distL="0" distR="0" wp14:anchorId="47FCE911" wp14:editId="7BBA1970">
            <wp:extent cx="2771775" cy="1800000"/>
            <wp:effectExtent l="0" t="0" r="9525" b="1016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020EC1" w14:textId="4C0E360E" w:rsidR="005F0B9C" w:rsidRDefault="005F0B9C" w:rsidP="005F0B9C">
      <w:pPr>
        <w:pStyle w:val="Descripcin"/>
        <w:jc w:val="center"/>
        <w:rPr>
          <w:rFonts w:ascii="Arial Narrow" w:hAnsi="Arial Narrow"/>
          <w:i w:val="0"/>
          <w:iCs w:val="0"/>
          <w:color w:val="0D0D0D" w:themeColor="text1" w:themeTint="F2"/>
          <w:sz w:val="20"/>
          <w:szCs w:val="20"/>
        </w:rPr>
      </w:pPr>
      <w:r w:rsidRPr="006A6746">
        <w:rPr>
          <w:rFonts w:ascii="Arial Narrow" w:hAnsi="Arial Narrow"/>
          <w:b/>
          <w:bCs/>
          <w:i w:val="0"/>
          <w:iCs w:val="0"/>
          <w:color w:val="0D0D0D" w:themeColor="text1" w:themeTint="F2"/>
          <w:sz w:val="20"/>
          <w:szCs w:val="20"/>
        </w:rPr>
        <w:t xml:space="preserve">Figura </w:t>
      </w:r>
      <w:r w:rsidRPr="006A6746">
        <w:rPr>
          <w:rFonts w:ascii="Arial Narrow" w:hAnsi="Arial Narrow"/>
          <w:b/>
          <w:bCs/>
          <w:i w:val="0"/>
          <w:iCs w:val="0"/>
          <w:color w:val="0D0D0D" w:themeColor="text1" w:themeTint="F2"/>
          <w:sz w:val="20"/>
          <w:szCs w:val="20"/>
        </w:rPr>
        <w:fldChar w:fldCharType="begin"/>
      </w:r>
      <w:r w:rsidRPr="006A6746">
        <w:rPr>
          <w:rFonts w:ascii="Arial Narrow" w:hAnsi="Arial Narrow"/>
          <w:b/>
          <w:bCs/>
          <w:i w:val="0"/>
          <w:iCs w:val="0"/>
          <w:color w:val="0D0D0D" w:themeColor="text1" w:themeTint="F2"/>
          <w:sz w:val="20"/>
          <w:szCs w:val="20"/>
        </w:rPr>
        <w:instrText xml:space="preserve"> SEQ Figura \* ARABIC </w:instrText>
      </w:r>
      <w:r w:rsidRPr="006A6746">
        <w:rPr>
          <w:rFonts w:ascii="Arial Narrow" w:hAnsi="Arial Narrow"/>
          <w:b/>
          <w:bCs/>
          <w:i w:val="0"/>
          <w:iCs w:val="0"/>
          <w:color w:val="0D0D0D" w:themeColor="text1" w:themeTint="F2"/>
          <w:sz w:val="20"/>
          <w:szCs w:val="20"/>
        </w:rPr>
        <w:fldChar w:fldCharType="separate"/>
      </w:r>
      <w:r w:rsidR="009847CD">
        <w:rPr>
          <w:rFonts w:ascii="Arial Narrow" w:hAnsi="Arial Narrow"/>
          <w:b/>
          <w:bCs/>
          <w:i w:val="0"/>
          <w:iCs w:val="0"/>
          <w:noProof/>
          <w:color w:val="0D0D0D" w:themeColor="text1" w:themeTint="F2"/>
          <w:sz w:val="20"/>
          <w:szCs w:val="20"/>
        </w:rPr>
        <w:t>8</w:t>
      </w:r>
      <w:r w:rsidRPr="006A6746">
        <w:rPr>
          <w:rFonts w:ascii="Arial Narrow" w:hAnsi="Arial Narrow"/>
          <w:b/>
          <w:bCs/>
          <w:i w:val="0"/>
          <w:iCs w:val="0"/>
          <w:color w:val="0D0D0D" w:themeColor="text1" w:themeTint="F2"/>
          <w:sz w:val="20"/>
          <w:szCs w:val="20"/>
        </w:rPr>
        <w:fldChar w:fldCharType="end"/>
      </w:r>
      <w:r w:rsidRPr="006A6746">
        <w:rPr>
          <w:rFonts w:ascii="Arial Narrow" w:hAnsi="Arial Narrow"/>
          <w:b/>
          <w:bCs/>
          <w:i w:val="0"/>
          <w:iCs w:val="0"/>
          <w:color w:val="0D0D0D" w:themeColor="text1" w:themeTint="F2"/>
          <w:sz w:val="20"/>
          <w:szCs w:val="20"/>
        </w:rPr>
        <w:t>.</w:t>
      </w:r>
      <w:r w:rsidRPr="006A6746">
        <w:rPr>
          <w:rFonts w:ascii="Arial Narrow" w:hAnsi="Arial Narrow"/>
          <w:i w:val="0"/>
          <w:iCs w:val="0"/>
          <w:color w:val="0D0D0D" w:themeColor="text1" w:themeTint="F2"/>
          <w:sz w:val="20"/>
          <w:szCs w:val="20"/>
        </w:rPr>
        <w:t xml:space="preserve"> </w:t>
      </w:r>
      <w:r>
        <w:rPr>
          <w:rFonts w:ascii="Arial Narrow" w:hAnsi="Arial Narrow"/>
          <w:i w:val="0"/>
          <w:iCs w:val="0"/>
          <w:color w:val="0D0D0D" w:themeColor="text1" w:themeTint="F2"/>
          <w:sz w:val="20"/>
          <w:szCs w:val="20"/>
        </w:rPr>
        <w:t>P</w:t>
      </w:r>
      <w:r w:rsidRPr="0068714E">
        <w:rPr>
          <w:rFonts w:ascii="Arial Narrow" w:hAnsi="Arial Narrow"/>
          <w:i w:val="0"/>
          <w:iCs w:val="0"/>
          <w:color w:val="0D0D0D" w:themeColor="text1" w:themeTint="F2"/>
          <w:sz w:val="20"/>
          <w:szCs w:val="20"/>
        </w:rPr>
        <w:t xml:space="preserve">orcentaje de aciertos en la pregunta </w:t>
      </w:r>
      <w:r w:rsidR="009847CD">
        <w:rPr>
          <w:rFonts w:ascii="Arial Narrow" w:hAnsi="Arial Narrow"/>
          <w:i w:val="0"/>
          <w:iCs w:val="0"/>
          <w:color w:val="0D0D0D" w:themeColor="text1" w:themeTint="F2"/>
          <w:sz w:val="20"/>
          <w:szCs w:val="20"/>
        </w:rPr>
        <w:t>7</w:t>
      </w:r>
      <w:r w:rsidRPr="0068714E">
        <w:rPr>
          <w:rFonts w:ascii="Arial Narrow" w:hAnsi="Arial Narrow"/>
          <w:i w:val="0"/>
          <w:iCs w:val="0"/>
          <w:color w:val="0D0D0D" w:themeColor="text1" w:themeTint="F2"/>
          <w:sz w:val="20"/>
          <w:szCs w:val="20"/>
        </w:rPr>
        <w:t xml:space="preserve"> de</w:t>
      </w:r>
      <w:r>
        <w:rPr>
          <w:rFonts w:ascii="Arial Narrow" w:hAnsi="Arial Narrow"/>
          <w:i w:val="0"/>
          <w:iCs w:val="0"/>
          <w:color w:val="0D0D0D" w:themeColor="text1" w:themeTint="F2"/>
          <w:sz w:val="20"/>
          <w:szCs w:val="20"/>
        </w:rPr>
        <w:t>l instrumento de</w:t>
      </w:r>
      <w:r w:rsidRPr="0068714E">
        <w:rPr>
          <w:rFonts w:ascii="Arial Narrow" w:hAnsi="Arial Narrow"/>
          <w:i w:val="0"/>
          <w:iCs w:val="0"/>
          <w:color w:val="0D0D0D" w:themeColor="text1" w:themeTint="F2"/>
          <w:sz w:val="20"/>
          <w:szCs w:val="20"/>
        </w:rPr>
        <w:t xml:space="preserve"> evaluación.</w:t>
      </w:r>
    </w:p>
    <w:p w14:paraId="2AD3B371" w14:textId="2069E7D2" w:rsidR="00A83594" w:rsidRPr="00A83594" w:rsidRDefault="009847CD" w:rsidP="009B6762">
      <w:pPr>
        <w:spacing w:after="120"/>
        <w:rPr>
          <w:rFonts w:cs="Arial"/>
          <w:szCs w:val="24"/>
        </w:rPr>
      </w:pPr>
      <w:r>
        <w:rPr>
          <w:rFonts w:cs="Arial"/>
          <w:szCs w:val="24"/>
        </w:rPr>
        <w:t>En el caso de las sustancias neutras, el 100% de los estudiantes de ambos grupos acertaron la respuesta correcta, como se muestra en la tabla 7 y figura 8.</w:t>
      </w:r>
    </w:p>
    <w:p w14:paraId="36A718AA" w14:textId="37199DA9" w:rsidR="009847CD" w:rsidRDefault="009847CD" w:rsidP="009B6762">
      <w:pPr>
        <w:pStyle w:val="Prrafodelista"/>
        <w:numPr>
          <w:ilvl w:val="0"/>
          <w:numId w:val="6"/>
        </w:numPr>
        <w:spacing w:after="0" w:line="360" w:lineRule="auto"/>
        <w:rPr>
          <w:rFonts w:ascii="Arial" w:hAnsi="Arial" w:cs="Arial"/>
          <w:sz w:val="24"/>
          <w:szCs w:val="24"/>
        </w:rPr>
      </w:pPr>
      <w:r w:rsidRPr="009847CD">
        <w:rPr>
          <w:rFonts w:ascii="Arial" w:hAnsi="Arial" w:cs="Arial"/>
          <w:sz w:val="24"/>
          <w:szCs w:val="24"/>
        </w:rPr>
        <w:t>Una sustancia donadora de protones es un ácido según la teoría de</w:t>
      </w:r>
      <w:r w:rsidRPr="00A83594">
        <w:rPr>
          <w:rFonts w:ascii="Arial" w:hAnsi="Arial" w:cs="Arial"/>
          <w:sz w:val="24"/>
          <w:szCs w:val="24"/>
        </w:rPr>
        <w:t>:</w:t>
      </w:r>
    </w:p>
    <w:p w14:paraId="42A22633" w14:textId="0DEF7877" w:rsidR="002F7A45" w:rsidRPr="0068714E" w:rsidRDefault="002F7A45" w:rsidP="002F7A45">
      <w:pPr>
        <w:pStyle w:val="Descripcin"/>
        <w:keepNext/>
        <w:spacing w:after="120"/>
        <w:ind w:left="360"/>
        <w:jc w:val="center"/>
        <w:rPr>
          <w:rFonts w:ascii="Arial Narrow" w:hAnsi="Arial Narrow"/>
          <w:i w:val="0"/>
          <w:iCs w:val="0"/>
          <w:color w:val="0D0D0D" w:themeColor="text1" w:themeTint="F2"/>
          <w:sz w:val="20"/>
          <w:szCs w:val="20"/>
        </w:rPr>
      </w:pPr>
      <w:r w:rsidRPr="004064D4">
        <w:rPr>
          <w:rFonts w:ascii="Arial Narrow" w:hAnsi="Arial Narrow"/>
          <w:b/>
          <w:bCs/>
          <w:i w:val="0"/>
          <w:iCs w:val="0"/>
          <w:color w:val="0D0D0D" w:themeColor="text1" w:themeTint="F2"/>
          <w:sz w:val="20"/>
          <w:szCs w:val="20"/>
        </w:rPr>
        <w:t xml:space="preserve">Tabla </w:t>
      </w:r>
      <w:r w:rsidRPr="004064D4">
        <w:rPr>
          <w:rFonts w:ascii="Arial Narrow" w:hAnsi="Arial Narrow"/>
          <w:b/>
          <w:bCs/>
          <w:i w:val="0"/>
          <w:iCs w:val="0"/>
          <w:color w:val="0D0D0D" w:themeColor="text1" w:themeTint="F2"/>
          <w:sz w:val="20"/>
          <w:szCs w:val="20"/>
        </w:rPr>
        <w:fldChar w:fldCharType="begin"/>
      </w:r>
      <w:r w:rsidRPr="004064D4">
        <w:rPr>
          <w:rFonts w:ascii="Arial Narrow" w:hAnsi="Arial Narrow"/>
          <w:b/>
          <w:bCs/>
          <w:i w:val="0"/>
          <w:iCs w:val="0"/>
          <w:color w:val="0D0D0D" w:themeColor="text1" w:themeTint="F2"/>
          <w:sz w:val="20"/>
          <w:szCs w:val="20"/>
        </w:rPr>
        <w:instrText xml:space="preserve"> SEQ Tabla \* ARABIC </w:instrText>
      </w:r>
      <w:r w:rsidRPr="004064D4">
        <w:rPr>
          <w:rFonts w:ascii="Arial Narrow" w:hAnsi="Arial Narrow"/>
          <w:b/>
          <w:bCs/>
          <w:i w:val="0"/>
          <w:iCs w:val="0"/>
          <w:color w:val="0D0D0D" w:themeColor="text1" w:themeTint="F2"/>
          <w:sz w:val="20"/>
          <w:szCs w:val="20"/>
        </w:rPr>
        <w:fldChar w:fldCharType="separate"/>
      </w:r>
      <w:r>
        <w:rPr>
          <w:rFonts w:ascii="Arial Narrow" w:hAnsi="Arial Narrow"/>
          <w:b/>
          <w:bCs/>
          <w:i w:val="0"/>
          <w:iCs w:val="0"/>
          <w:noProof/>
          <w:color w:val="0D0D0D" w:themeColor="text1" w:themeTint="F2"/>
          <w:sz w:val="20"/>
          <w:szCs w:val="20"/>
        </w:rPr>
        <w:t>8</w:t>
      </w:r>
      <w:r w:rsidRPr="004064D4">
        <w:rPr>
          <w:rFonts w:ascii="Arial Narrow" w:hAnsi="Arial Narrow"/>
          <w:b/>
          <w:bCs/>
          <w:i w:val="0"/>
          <w:iCs w:val="0"/>
          <w:color w:val="0D0D0D" w:themeColor="text1" w:themeTint="F2"/>
          <w:sz w:val="20"/>
          <w:szCs w:val="20"/>
        </w:rPr>
        <w:fldChar w:fldCharType="end"/>
      </w:r>
      <w:r>
        <w:rPr>
          <w:rFonts w:ascii="Arial Narrow" w:hAnsi="Arial Narrow"/>
          <w:i w:val="0"/>
          <w:iCs w:val="0"/>
          <w:color w:val="0D0D0D" w:themeColor="text1" w:themeTint="F2"/>
          <w:sz w:val="20"/>
          <w:szCs w:val="20"/>
        </w:rPr>
        <w:t xml:space="preserve">. </w:t>
      </w:r>
      <w:r w:rsidRPr="0068714E">
        <w:rPr>
          <w:rFonts w:ascii="Arial Narrow" w:hAnsi="Arial Narrow"/>
          <w:i w:val="0"/>
          <w:iCs w:val="0"/>
          <w:color w:val="0D0D0D" w:themeColor="text1" w:themeTint="F2"/>
          <w:sz w:val="20"/>
          <w:szCs w:val="20"/>
        </w:rPr>
        <w:t xml:space="preserve">Frecuencia y porcentaje de </w:t>
      </w:r>
      <w:r>
        <w:rPr>
          <w:rFonts w:ascii="Arial Narrow" w:hAnsi="Arial Narrow"/>
          <w:i w:val="0"/>
          <w:iCs w:val="0"/>
          <w:color w:val="0D0D0D" w:themeColor="text1" w:themeTint="F2"/>
          <w:sz w:val="20"/>
          <w:szCs w:val="20"/>
        </w:rPr>
        <w:t>respuestas</w:t>
      </w:r>
      <w:r w:rsidRPr="0068714E">
        <w:rPr>
          <w:rFonts w:ascii="Arial Narrow" w:hAnsi="Arial Narrow"/>
          <w:i w:val="0"/>
          <w:iCs w:val="0"/>
          <w:color w:val="0D0D0D" w:themeColor="text1" w:themeTint="F2"/>
          <w:sz w:val="20"/>
          <w:szCs w:val="20"/>
        </w:rPr>
        <w:t xml:space="preserve"> en la pregunta</w:t>
      </w:r>
      <w:r>
        <w:rPr>
          <w:rFonts w:ascii="Arial Narrow" w:hAnsi="Arial Narrow"/>
          <w:i w:val="0"/>
          <w:iCs w:val="0"/>
          <w:color w:val="0D0D0D" w:themeColor="text1" w:themeTint="F2"/>
          <w:sz w:val="20"/>
          <w:szCs w:val="20"/>
        </w:rPr>
        <w:t xml:space="preserve"> 8</w:t>
      </w:r>
      <w:r w:rsidRPr="0068714E">
        <w:rPr>
          <w:rFonts w:ascii="Arial Narrow" w:hAnsi="Arial Narrow"/>
          <w:i w:val="0"/>
          <w:iCs w:val="0"/>
          <w:color w:val="0D0D0D" w:themeColor="text1" w:themeTint="F2"/>
          <w:sz w:val="20"/>
          <w:szCs w:val="20"/>
        </w:rPr>
        <w:t xml:space="preserve"> de la evaluación.</w:t>
      </w:r>
    </w:p>
    <w:tbl>
      <w:tblPr>
        <w:tblW w:w="7506" w:type="dxa"/>
        <w:jc w:val="center"/>
        <w:tblCellMar>
          <w:left w:w="70" w:type="dxa"/>
          <w:right w:w="70" w:type="dxa"/>
        </w:tblCellMar>
        <w:tblLook w:val="04A0" w:firstRow="1" w:lastRow="0" w:firstColumn="1" w:lastColumn="0" w:noHBand="0" w:noVBand="1"/>
      </w:tblPr>
      <w:tblGrid>
        <w:gridCol w:w="2272"/>
        <w:gridCol w:w="1215"/>
        <w:gridCol w:w="15"/>
        <w:gridCol w:w="1341"/>
        <w:gridCol w:w="1230"/>
        <w:gridCol w:w="1433"/>
      </w:tblGrid>
      <w:tr w:rsidR="002F7A45" w14:paraId="620F12B9" w14:textId="77777777" w:rsidTr="009570B3">
        <w:trPr>
          <w:trHeight w:val="227"/>
          <w:jc w:val="center"/>
        </w:trPr>
        <w:tc>
          <w:tcPr>
            <w:tcW w:w="2272" w:type="dxa"/>
            <w:vMerge w:val="restart"/>
            <w:tcBorders>
              <w:top w:val="single" w:sz="4" w:space="0" w:color="auto"/>
            </w:tcBorders>
            <w:shd w:val="clear" w:color="auto" w:fill="auto"/>
            <w:noWrap/>
            <w:vAlign w:val="center"/>
            <w:hideMark/>
          </w:tcPr>
          <w:p w14:paraId="61A043F9" w14:textId="77777777" w:rsidR="002F7A45" w:rsidRPr="00FE69AA" w:rsidRDefault="002F7A45" w:rsidP="007F00EC">
            <w:pPr>
              <w:spacing w:after="0" w:line="240" w:lineRule="auto"/>
              <w:jc w:val="center"/>
              <w:rPr>
                <w:rFonts w:ascii="Arial Narrow" w:eastAsia="Times New Roman" w:hAnsi="Arial Narrow" w:cs="Times New Roman"/>
                <w:b/>
                <w:bCs/>
                <w:color w:val="000000"/>
                <w:sz w:val="20"/>
                <w:szCs w:val="18"/>
                <w:lang w:val="es-ES" w:eastAsia="es-ES"/>
              </w:rPr>
            </w:pPr>
            <w:r w:rsidRPr="00FE69AA">
              <w:rPr>
                <w:rFonts w:ascii="Arial Narrow" w:eastAsia="Times New Roman" w:hAnsi="Arial Narrow" w:cs="Times New Roman"/>
                <w:b/>
                <w:bCs/>
                <w:color w:val="000000"/>
                <w:sz w:val="20"/>
                <w:szCs w:val="18"/>
              </w:rPr>
              <w:t>Variables</w:t>
            </w:r>
          </w:p>
        </w:tc>
        <w:tc>
          <w:tcPr>
            <w:tcW w:w="2571" w:type="dxa"/>
            <w:gridSpan w:val="3"/>
            <w:tcBorders>
              <w:top w:val="single" w:sz="4" w:space="0" w:color="auto"/>
              <w:bottom w:val="single" w:sz="4" w:space="0" w:color="auto"/>
            </w:tcBorders>
            <w:shd w:val="clear" w:color="auto" w:fill="auto"/>
            <w:noWrap/>
            <w:vAlign w:val="center"/>
            <w:hideMark/>
          </w:tcPr>
          <w:p w14:paraId="5C5C924E" w14:textId="77777777" w:rsidR="002F7A45" w:rsidRPr="00FE69AA" w:rsidRDefault="002F7A45" w:rsidP="007F00EC">
            <w:pPr>
              <w:spacing w:after="0" w:line="240" w:lineRule="auto"/>
              <w:jc w:val="center"/>
              <w:rPr>
                <w:rFonts w:ascii="Arial Narrow" w:eastAsia="Times New Roman" w:hAnsi="Arial Narrow" w:cs="Times New Roman"/>
                <w:b/>
                <w:bCs/>
                <w:color w:val="000000"/>
                <w:sz w:val="20"/>
                <w:szCs w:val="18"/>
              </w:rPr>
            </w:pPr>
            <w:r w:rsidRPr="00FE69AA">
              <w:rPr>
                <w:rFonts w:ascii="Arial Narrow" w:eastAsia="Times New Roman" w:hAnsi="Arial Narrow" w:cs="Times New Roman"/>
                <w:b/>
                <w:bCs/>
                <w:color w:val="000000"/>
                <w:sz w:val="20"/>
                <w:szCs w:val="18"/>
              </w:rPr>
              <w:t>Frecuencia</w:t>
            </w:r>
          </w:p>
        </w:tc>
        <w:tc>
          <w:tcPr>
            <w:tcW w:w="2663" w:type="dxa"/>
            <w:gridSpan w:val="2"/>
            <w:tcBorders>
              <w:top w:val="single" w:sz="4" w:space="0" w:color="auto"/>
              <w:bottom w:val="single" w:sz="4" w:space="0" w:color="auto"/>
            </w:tcBorders>
            <w:shd w:val="clear" w:color="auto" w:fill="auto"/>
            <w:noWrap/>
            <w:vAlign w:val="center"/>
            <w:hideMark/>
          </w:tcPr>
          <w:p w14:paraId="666594EC" w14:textId="77777777" w:rsidR="002F7A45" w:rsidRPr="00FE69AA" w:rsidRDefault="002F7A45" w:rsidP="007F00EC">
            <w:pPr>
              <w:spacing w:after="0" w:line="240" w:lineRule="auto"/>
              <w:jc w:val="center"/>
              <w:rPr>
                <w:rFonts w:ascii="Arial Narrow" w:eastAsia="Times New Roman" w:hAnsi="Arial Narrow" w:cs="Times New Roman"/>
                <w:b/>
                <w:bCs/>
                <w:color w:val="000000"/>
                <w:sz w:val="20"/>
                <w:szCs w:val="18"/>
              </w:rPr>
            </w:pPr>
            <w:r w:rsidRPr="00FE69AA">
              <w:rPr>
                <w:rFonts w:ascii="Arial Narrow" w:eastAsia="Times New Roman" w:hAnsi="Arial Narrow" w:cs="Times New Roman"/>
                <w:b/>
                <w:bCs/>
                <w:color w:val="000000"/>
                <w:sz w:val="20"/>
                <w:szCs w:val="18"/>
              </w:rPr>
              <w:t>Porcentaje</w:t>
            </w:r>
          </w:p>
        </w:tc>
      </w:tr>
      <w:tr w:rsidR="002F7A45" w14:paraId="59B499BC" w14:textId="77777777" w:rsidTr="009570B3">
        <w:trPr>
          <w:trHeight w:val="227"/>
          <w:jc w:val="center"/>
        </w:trPr>
        <w:tc>
          <w:tcPr>
            <w:tcW w:w="2272" w:type="dxa"/>
            <w:vMerge/>
            <w:tcBorders>
              <w:bottom w:val="single" w:sz="4" w:space="0" w:color="auto"/>
            </w:tcBorders>
            <w:shd w:val="clear" w:color="auto" w:fill="auto"/>
            <w:noWrap/>
            <w:vAlign w:val="center"/>
          </w:tcPr>
          <w:p w14:paraId="774E401C" w14:textId="77777777" w:rsidR="002F7A45" w:rsidRPr="00FE69AA" w:rsidRDefault="002F7A45" w:rsidP="007F00EC">
            <w:pPr>
              <w:spacing w:after="0" w:line="240" w:lineRule="auto"/>
              <w:jc w:val="center"/>
              <w:rPr>
                <w:rFonts w:ascii="Arial Narrow" w:eastAsia="Times New Roman" w:hAnsi="Arial Narrow" w:cs="Times New Roman"/>
                <w:b/>
                <w:bCs/>
                <w:color w:val="000000"/>
                <w:sz w:val="20"/>
                <w:szCs w:val="18"/>
              </w:rPr>
            </w:pPr>
          </w:p>
        </w:tc>
        <w:tc>
          <w:tcPr>
            <w:tcW w:w="1215" w:type="dxa"/>
            <w:tcBorders>
              <w:top w:val="single" w:sz="4" w:space="0" w:color="auto"/>
              <w:bottom w:val="single" w:sz="4" w:space="0" w:color="auto"/>
            </w:tcBorders>
            <w:shd w:val="clear" w:color="auto" w:fill="auto"/>
            <w:noWrap/>
            <w:vAlign w:val="center"/>
          </w:tcPr>
          <w:p w14:paraId="0FFE6A83" w14:textId="77777777" w:rsidR="002F7A45" w:rsidRPr="00FE69AA" w:rsidRDefault="002F7A45"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M. Ambiente</w:t>
            </w:r>
          </w:p>
        </w:tc>
        <w:tc>
          <w:tcPr>
            <w:tcW w:w="1356" w:type="dxa"/>
            <w:gridSpan w:val="2"/>
            <w:tcBorders>
              <w:top w:val="single" w:sz="4" w:space="0" w:color="auto"/>
              <w:bottom w:val="single" w:sz="4" w:space="0" w:color="auto"/>
            </w:tcBorders>
            <w:shd w:val="clear" w:color="auto" w:fill="auto"/>
            <w:vAlign w:val="center"/>
          </w:tcPr>
          <w:p w14:paraId="2E48CC47" w14:textId="77777777" w:rsidR="002F7A45" w:rsidRPr="00FE69AA" w:rsidRDefault="002F7A45"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Agroindustrias</w:t>
            </w:r>
          </w:p>
        </w:tc>
        <w:tc>
          <w:tcPr>
            <w:tcW w:w="1230" w:type="dxa"/>
            <w:tcBorders>
              <w:top w:val="single" w:sz="4" w:space="0" w:color="auto"/>
              <w:bottom w:val="single" w:sz="4" w:space="0" w:color="auto"/>
            </w:tcBorders>
            <w:shd w:val="clear" w:color="auto" w:fill="auto"/>
            <w:noWrap/>
            <w:vAlign w:val="center"/>
          </w:tcPr>
          <w:p w14:paraId="39D18B79" w14:textId="77777777" w:rsidR="002F7A45" w:rsidRPr="00FE69AA" w:rsidRDefault="002F7A45"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M. Ambiente</w:t>
            </w:r>
          </w:p>
        </w:tc>
        <w:tc>
          <w:tcPr>
            <w:tcW w:w="1433" w:type="dxa"/>
            <w:tcBorders>
              <w:top w:val="single" w:sz="4" w:space="0" w:color="auto"/>
              <w:bottom w:val="single" w:sz="4" w:space="0" w:color="auto"/>
            </w:tcBorders>
            <w:shd w:val="clear" w:color="auto" w:fill="auto"/>
            <w:vAlign w:val="center"/>
          </w:tcPr>
          <w:p w14:paraId="36E065F8" w14:textId="77777777" w:rsidR="002F7A45" w:rsidRPr="00FE69AA" w:rsidRDefault="002F7A45"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Agroindustrias</w:t>
            </w:r>
          </w:p>
        </w:tc>
      </w:tr>
      <w:tr w:rsidR="002F7A45" w14:paraId="73DE6870" w14:textId="77777777" w:rsidTr="009570B3">
        <w:trPr>
          <w:trHeight w:val="227"/>
          <w:jc w:val="center"/>
        </w:trPr>
        <w:tc>
          <w:tcPr>
            <w:tcW w:w="2272" w:type="dxa"/>
            <w:tcBorders>
              <w:top w:val="single" w:sz="4" w:space="0" w:color="auto"/>
            </w:tcBorders>
            <w:shd w:val="clear" w:color="auto" w:fill="auto"/>
            <w:noWrap/>
            <w:vAlign w:val="bottom"/>
            <w:hideMark/>
          </w:tcPr>
          <w:p w14:paraId="007A9572" w14:textId="6009B7C5" w:rsidR="002F7A45" w:rsidRPr="00A83594" w:rsidRDefault="004469E1" w:rsidP="00FA6BC3">
            <w:pPr>
              <w:pStyle w:val="Prrafodelista"/>
              <w:numPr>
                <w:ilvl w:val="0"/>
                <w:numId w:val="13"/>
              </w:numPr>
              <w:spacing w:after="0" w:line="240" w:lineRule="auto"/>
              <w:rPr>
                <w:rFonts w:ascii="Arial Narrow" w:eastAsia="Times New Roman" w:hAnsi="Arial Narrow" w:cs="Times New Roman"/>
                <w:color w:val="000000"/>
                <w:sz w:val="20"/>
                <w:szCs w:val="18"/>
              </w:rPr>
            </w:pPr>
            <w:r w:rsidRPr="004469E1">
              <w:rPr>
                <w:rFonts w:ascii="Arial Narrow" w:eastAsia="Times New Roman" w:hAnsi="Arial Narrow" w:cs="Times New Roman"/>
                <w:color w:val="000000"/>
                <w:sz w:val="20"/>
                <w:szCs w:val="18"/>
              </w:rPr>
              <w:t>Arrhenius</w:t>
            </w:r>
          </w:p>
        </w:tc>
        <w:tc>
          <w:tcPr>
            <w:tcW w:w="1230" w:type="dxa"/>
            <w:gridSpan w:val="2"/>
            <w:tcBorders>
              <w:top w:val="single" w:sz="4" w:space="0" w:color="auto"/>
            </w:tcBorders>
            <w:shd w:val="clear" w:color="auto" w:fill="auto"/>
            <w:noWrap/>
            <w:hideMark/>
          </w:tcPr>
          <w:p w14:paraId="79C3E936" w14:textId="77777777" w:rsidR="002F7A45" w:rsidRDefault="002F7A45" w:rsidP="007F00EC">
            <w:pPr>
              <w:spacing w:after="0" w:line="240" w:lineRule="auto"/>
              <w:jc w:val="center"/>
              <w:rPr>
                <w:rFonts w:ascii="Arial Narrow" w:eastAsia="Times New Roman" w:hAnsi="Arial Narrow" w:cs="Times New Roman"/>
                <w:color w:val="000000"/>
                <w:sz w:val="20"/>
                <w:szCs w:val="18"/>
              </w:rPr>
            </w:pPr>
            <w:r w:rsidRPr="00303F47">
              <w:rPr>
                <w:rFonts w:ascii="Arial Narrow" w:eastAsia="Times New Roman" w:hAnsi="Arial Narrow" w:cs="Times New Roman"/>
                <w:color w:val="000000"/>
                <w:sz w:val="20"/>
                <w:szCs w:val="18"/>
              </w:rPr>
              <w:t>0</w:t>
            </w:r>
          </w:p>
        </w:tc>
        <w:tc>
          <w:tcPr>
            <w:tcW w:w="1341" w:type="dxa"/>
            <w:tcBorders>
              <w:top w:val="single" w:sz="4" w:space="0" w:color="auto"/>
            </w:tcBorders>
            <w:shd w:val="clear" w:color="auto" w:fill="auto"/>
            <w:noWrap/>
            <w:hideMark/>
          </w:tcPr>
          <w:p w14:paraId="6BD6C2AA" w14:textId="77777777" w:rsidR="002F7A45" w:rsidRDefault="002F7A45" w:rsidP="007F00EC">
            <w:pPr>
              <w:spacing w:after="0" w:line="240" w:lineRule="auto"/>
              <w:jc w:val="center"/>
              <w:rPr>
                <w:rFonts w:ascii="Arial Narrow" w:eastAsia="Times New Roman" w:hAnsi="Arial Narrow" w:cs="Times New Roman"/>
                <w:color w:val="000000"/>
                <w:sz w:val="20"/>
                <w:szCs w:val="18"/>
              </w:rPr>
            </w:pPr>
            <w:r w:rsidRPr="00303F47">
              <w:rPr>
                <w:rFonts w:ascii="Arial Narrow" w:eastAsia="Times New Roman" w:hAnsi="Arial Narrow" w:cs="Times New Roman"/>
                <w:color w:val="000000"/>
                <w:sz w:val="20"/>
                <w:szCs w:val="18"/>
              </w:rPr>
              <w:t>0</w:t>
            </w:r>
          </w:p>
        </w:tc>
        <w:tc>
          <w:tcPr>
            <w:tcW w:w="1230" w:type="dxa"/>
            <w:tcBorders>
              <w:top w:val="single" w:sz="4" w:space="0" w:color="auto"/>
            </w:tcBorders>
            <w:shd w:val="clear" w:color="auto" w:fill="auto"/>
            <w:noWrap/>
            <w:hideMark/>
          </w:tcPr>
          <w:p w14:paraId="28F6D77D" w14:textId="77777777" w:rsidR="002F7A45" w:rsidRDefault="002F7A45" w:rsidP="007F00EC">
            <w:pPr>
              <w:spacing w:after="0" w:line="240" w:lineRule="auto"/>
              <w:jc w:val="center"/>
              <w:rPr>
                <w:rFonts w:ascii="Arial Narrow" w:eastAsia="Times New Roman" w:hAnsi="Arial Narrow" w:cs="Times New Roman"/>
                <w:color w:val="000000"/>
                <w:sz w:val="20"/>
                <w:szCs w:val="18"/>
              </w:rPr>
            </w:pPr>
            <w:r w:rsidRPr="00A15C54">
              <w:rPr>
                <w:rFonts w:ascii="Arial Narrow" w:eastAsia="Times New Roman" w:hAnsi="Arial Narrow" w:cs="Times New Roman"/>
                <w:color w:val="000000"/>
                <w:sz w:val="20"/>
                <w:szCs w:val="18"/>
              </w:rPr>
              <w:t>0.00</w:t>
            </w:r>
          </w:p>
        </w:tc>
        <w:tc>
          <w:tcPr>
            <w:tcW w:w="1433" w:type="dxa"/>
            <w:tcBorders>
              <w:top w:val="single" w:sz="4" w:space="0" w:color="auto"/>
            </w:tcBorders>
            <w:shd w:val="clear" w:color="auto" w:fill="auto"/>
            <w:noWrap/>
            <w:hideMark/>
          </w:tcPr>
          <w:p w14:paraId="20B5A743" w14:textId="77777777" w:rsidR="002F7A45" w:rsidRDefault="002F7A45" w:rsidP="007F00EC">
            <w:pPr>
              <w:spacing w:after="0" w:line="240" w:lineRule="auto"/>
              <w:jc w:val="center"/>
              <w:rPr>
                <w:rFonts w:ascii="Arial Narrow" w:eastAsia="Times New Roman" w:hAnsi="Arial Narrow" w:cs="Times New Roman"/>
                <w:color w:val="000000"/>
                <w:sz w:val="20"/>
                <w:szCs w:val="18"/>
              </w:rPr>
            </w:pPr>
            <w:r w:rsidRPr="00A15C54">
              <w:rPr>
                <w:rFonts w:ascii="Arial Narrow" w:eastAsia="Times New Roman" w:hAnsi="Arial Narrow" w:cs="Times New Roman"/>
                <w:color w:val="000000"/>
                <w:sz w:val="20"/>
                <w:szCs w:val="18"/>
              </w:rPr>
              <w:t>0.00</w:t>
            </w:r>
          </w:p>
        </w:tc>
      </w:tr>
      <w:tr w:rsidR="002F7A45" w14:paraId="51860B1F" w14:textId="77777777" w:rsidTr="009570B3">
        <w:trPr>
          <w:trHeight w:val="227"/>
          <w:jc w:val="center"/>
        </w:trPr>
        <w:tc>
          <w:tcPr>
            <w:tcW w:w="2272" w:type="dxa"/>
            <w:shd w:val="clear" w:color="auto" w:fill="auto"/>
            <w:noWrap/>
            <w:vAlign w:val="bottom"/>
            <w:hideMark/>
          </w:tcPr>
          <w:p w14:paraId="36598C3F" w14:textId="7493D5A8" w:rsidR="002F7A45" w:rsidRPr="00A83594" w:rsidRDefault="004469E1" w:rsidP="00FA6BC3">
            <w:pPr>
              <w:pStyle w:val="Prrafodelista"/>
              <w:numPr>
                <w:ilvl w:val="0"/>
                <w:numId w:val="13"/>
              </w:numPr>
              <w:spacing w:after="0" w:line="240" w:lineRule="auto"/>
              <w:rPr>
                <w:rFonts w:ascii="Arial Narrow" w:eastAsia="Times New Roman" w:hAnsi="Arial Narrow" w:cs="Times New Roman"/>
                <w:color w:val="000000"/>
                <w:sz w:val="20"/>
                <w:szCs w:val="18"/>
              </w:rPr>
            </w:pPr>
            <w:r w:rsidRPr="004469E1">
              <w:rPr>
                <w:rFonts w:ascii="Arial Narrow" w:eastAsia="Times New Roman" w:hAnsi="Arial Narrow" w:cs="Times New Roman"/>
                <w:color w:val="000000"/>
                <w:sz w:val="20"/>
                <w:szCs w:val="18"/>
              </w:rPr>
              <w:t>Lewis</w:t>
            </w:r>
          </w:p>
        </w:tc>
        <w:tc>
          <w:tcPr>
            <w:tcW w:w="1230" w:type="dxa"/>
            <w:gridSpan w:val="2"/>
            <w:shd w:val="clear" w:color="auto" w:fill="auto"/>
            <w:noWrap/>
            <w:hideMark/>
          </w:tcPr>
          <w:p w14:paraId="24661498" w14:textId="78B27F11" w:rsidR="002F7A45" w:rsidRDefault="004469E1"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w:t>
            </w:r>
          </w:p>
        </w:tc>
        <w:tc>
          <w:tcPr>
            <w:tcW w:w="1341" w:type="dxa"/>
            <w:shd w:val="clear" w:color="auto" w:fill="auto"/>
            <w:noWrap/>
            <w:hideMark/>
          </w:tcPr>
          <w:p w14:paraId="7B30DE89" w14:textId="0A505272" w:rsidR="002F7A45" w:rsidRDefault="004469E1"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w:t>
            </w:r>
          </w:p>
        </w:tc>
        <w:tc>
          <w:tcPr>
            <w:tcW w:w="1230" w:type="dxa"/>
            <w:shd w:val="clear" w:color="auto" w:fill="auto"/>
            <w:noWrap/>
            <w:hideMark/>
          </w:tcPr>
          <w:p w14:paraId="1CD62D60" w14:textId="5010FEBA" w:rsidR="002F7A45" w:rsidRDefault="004469E1"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9.09</w:t>
            </w:r>
          </w:p>
        </w:tc>
        <w:tc>
          <w:tcPr>
            <w:tcW w:w="1433" w:type="dxa"/>
            <w:shd w:val="clear" w:color="auto" w:fill="auto"/>
            <w:noWrap/>
            <w:hideMark/>
          </w:tcPr>
          <w:p w14:paraId="5F977C3D" w14:textId="0D4FC994" w:rsidR="002F7A45" w:rsidRDefault="004469E1"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4.55</w:t>
            </w:r>
          </w:p>
        </w:tc>
      </w:tr>
      <w:tr w:rsidR="002F7A45" w14:paraId="7241448F" w14:textId="77777777" w:rsidTr="009570B3">
        <w:trPr>
          <w:trHeight w:val="227"/>
          <w:jc w:val="center"/>
        </w:trPr>
        <w:tc>
          <w:tcPr>
            <w:tcW w:w="2272" w:type="dxa"/>
            <w:shd w:val="clear" w:color="auto" w:fill="auto"/>
            <w:noWrap/>
            <w:vAlign w:val="bottom"/>
          </w:tcPr>
          <w:p w14:paraId="1E6591BC" w14:textId="6B518C4A" w:rsidR="002F7A45" w:rsidRDefault="004469E1" w:rsidP="00FA6BC3">
            <w:pPr>
              <w:pStyle w:val="Prrafodelista"/>
              <w:numPr>
                <w:ilvl w:val="0"/>
                <w:numId w:val="13"/>
              </w:numPr>
              <w:spacing w:after="0" w:line="240" w:lineRule="auto"/>
              <w:rPr>
                <w:rFonts w:ascii="Arial Narrow" w:eastAsia="Times New Roman" w:hAnsi="Arial Narrow" w:cs="Times New Roman"/>
                <w:color w:val="000000"/>
                <w:sz w:val="20"/>
                <w:szCs w:val="18"/>
              </w:rPr>
            </w:pPr>
            <w:r w:rsidRPr="004469E1">
              <w:rPr>
                <w:rFonts w:ascii="Arial Narrow" w:eastAsia="Times New Roman" w:hAnsi="Arial Narrow" w:cs="Times New Roman"/>
                <w:color w:val="000000"/>
                <w:sz w:val="20"/>
                <w:szCs w:val="18"/>
              </w:rPr>
              <w:t xml:space="preserve">Le </w:t>
            </w:r>
            <w:proofErr w:type="spellStart"/>
            <w:r w:rsidRPr="004469E1">
              <w:rPr>
                <w:rFonts w:ascii="Arial Narrow" w:eastAsia="Times New Roman" w:hAnsi="Arial Narrow" w:cs="Times New Roman"/>
                <w:color w:val="000000"/>
                <w:sz w:val="20"/>
                <w:szCs w:val="18"/>
              </w:rPr>
              <w:t>Chatelier</w:t>
            </w:r>
            <w:proofErr w:type="spellEnd"/>
          </w:p>
        </w:tc>
        <w:tc>
          <w:tcPr>
            <w:tcW w:w="1230" w:type="dxa"/>
            <w:gridSpan w:val="2"/>
            <w:shd w:val="clear" w:color="auto" w:fill="auto"/>
            <w:noWrap/>
          </w:tcPr>
          <w:p w14:paraId="39949B3C" w14:textId="72C1B020" w:rsidR="002F7A45" w:rsidRDefault="004469E1"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w:t>
            </w:r>
            <w:r w:rsidR="002F7A45" w:rsidRPr="00303F47">
              <w:rPr>
                <w:rFonts w:ascii="Arial Narrow" w:eastAsia="Times New Roman" w:hAnsi="Arial Narrow" w:cs="Times New Roman"/>
                <w:color w:val="000000"/>
                <w:sz w:val="20"/>
                <w:szCs w:val="18"/>
              </w:rPr>
              <w:t>0</w:t>
            </w:r>
          </w:p>
        </w:tc>
        <w:tc>
          <w:tcPr>
            <w:tcW w:w="1341" w:type="dxa"/>
            <w:shd w:val="clear" w:color="auto" w:fill="auto"/>
            <w:noWrap/>
          </w:tcPr>
          <w:p w14:paraId="151420A5" w14:textId="77524F7B" w:rsidR="002F7A45" w:rsidRDefault="004469E1"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21</w:t>
            </w:r>
          </w:p>
        </w:tc>
        <w:tc>
          <w:tcPr>
            <w:tcW w:w="1230" w:type="dxa"/>
            <w:shd w:val="clear" w:color="auto" w:fill="auto"/>
            <w:noWrap/>
          </w:tcPr>
          <w:p w14:paraId="4035173C" w14:textId="6F2FFCAD" w:rsidR="002F7A45" w:rsidRDefault="004469E1"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90.91</w:t>
            </w:r>
          </w:p>
        </w:tc>
        <w:tc>
          <w:tcPr>
            <w:tcW w:w="1433" w:type="dxa"/>
            <w:shd w:val="clear" w:color="auto" w:fill="auto"/>
            <w:noWrap/>
          </w:tcPr>
          <w:p w14:paraId="4FC9229A" w14:textId="6A574D65" w:rsidR="002F7A45" w:rsidRDefault="004469E1"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9</w:t>
            </w:r>
            <w:r w:rsidR="00FC4E0E">
              <w:rPr>
                <w:rFonts w:ascii="Arial Narrow" w:eastAsia="Times New Roman" w:hAnsi="Arial Narrow" w:cs="Times New Roman"/>
                <w:color w:val="000000"/>
                <w:sz w:val="20"/>
                <w:szCs w:val="18"/>
              </w:rPr>
              <w:t>5</w:t>
            </w:r>
            <w:r>
              <w:rPr>
                <w:rFonts w:ascii="Arial Narrow" w:eastAsia="Times New Roman" w:hAnsi="Arial Narrow" w:cs="Times New Roman"/>
                <w:color w:val="000000"/>
                <w:sz w:val="20"/>
                <w:szCs w:val="18"/>
              </w:rPr>
              <w:t>.45</w:t>
            </w:r>
          </w:p>
        </w:tc>
      </w:tr>
      <w:tr w:rsidR="002F7A45" w14:paraId="3017EB9A" w14:textId="77777777" w:rsidTr="009570B3">
        <w:trPr>
          <w:trHeight w:val="227"/>
          <w:jc w:val="center"/>
        </w:trPr>
        <w:tc>
          <w:tcPr>
            <w:tcW w:w="2272" w:type="dxa"/>
            <w:shd w:val="clear" w:color="auto" w:fill="auto"/>
            <w:noWrap/>
            <w:vAlign w:val="bottom"/>
          </w:tcPr>
          <w:p w14:paraId="4CF02140" w14:textId="3E63EAA2" w:rsidR="002F7A45" w:rsidRDefault="004469E1" w:rsidP="00FA6BC3">
            <w:pPr>
              <w:pStyle w:val="Prrafodelista"/>
              <w:numPr>
                <w:ilvl w:val="0"/>
                <w:numId w:val="13"/>
              </w:numPr>
              <w:spacing w:after="0" w:line="240" w:lineRule="auto"/>
              <w:rPr>
                <w:rFonts w:ascii="Arial Narrow" w:eastAsia="Times New Roman" w:hAnsi="Arial Narrow" w:cs="Times New Roman"/>
                <w:color w:val="000000"/>
                <w:sz w:val="20"/>
                <w:szCs w:val="18"/>
              </w:rPr>
            </w:pPr>
            <w:proofErr w:type="spellStart"/>
            <w:r w:rsidRPr="004469E1">
              <w:rPr>
                <w:rFonts w:ascii="Arial Narrow" w:eastAsia="Times New Roman" w:hAnsi="Arial Narrow" w:cs="Times New Roman"/>
                <w:color w:val="000000"/>
                <w:sz w:val="20"/>
                <w:szCs w:val="18"/>
              </w:rPr>
              <w:t>Bron</w:t>
            </w:r>
            <w:r w:rsidR="009570B3">
              <w:rPr>
                <w:rFonts w:ascii="Arial Narrow" w:eastAsia="Times New Roman" w:hAnsi="Arial Narrow" w:cs="Times New Roman"/>
                <w:color w:val="000000"/>
                <w:sz w:val="20"/>
                <w:szCs w:val="18"/>
              </w:rPr>
              <w:t>s</w:t>
            </w:r>
            <w:r w:rsidRPr="004469E1">
              <w:rPr>
                <w:rFonts w:ascii="Arial Narrow" w:eastAsia="Times New Roman" w:hAnsi="Arial Narrow" w:cs="Times New Roman"/>
                <w:color w:val="000000"/>
                <w:sz w:val="20"/>
                <w:szCs w:val="18"/>
              </w:rPr>
              <w:t>ted</w:t>
            </w:r>
            <w:proofErr w:type="spellEnd"/>
            <w:r w:rsidRPr="004469E1">
              <w:rPr>
                <w:rFonts w:ascii="Arial Narrow" w:eastAsia="Times New Roman" w:hAnsi="Arial Narrow" w:cs="Times New Roman"/>
                <w:color w:val="000000"/>
                <w:sz w:val="20"/>
                <w:szCs w:val="18"/>
              </w:rPr>
              <w:t xml:space="preserve"> </w:t>
            </w:r>
            <w:proofErr w:type="spellStart"/>
            <w:r w:rsidRPr="004469E1">
              <w:rPr>
                <w:rFonts w:ascii="Arial Narrow" w:eastAsia="Times New Roman" w:hAnsi="Arial Narrow" w:cs="Times New Roman"/>
                <w:color w:val="000000"/>
                <w:sz w:val="20"/>
                <w:szCs w:val="18"/>
              </w:rPr>
              <w:t>Lowry</w:t>
            </w:r>
            <w:proofErr w:type="spellEnd"/>
          </w:p>
        </w:tc>
        <w:tc>
          <w:tcPr>
            <w:tcW w:w="1230" w:type="dxa"/>
            <w:gridSpan w:val="2"/>
            <w:shd w:val="clear" w:color="auto" w:fill="auto"/>
            <w:noWrap/>
          </w:tcPr>
          <w:p w14:paraId="33388578" w14:textId="0D30DC49" w:rsidR="002F7A45" w:rsidRDefault="004469E1"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0</w:t>
            </w:r>
          </w:p>
        </w:tc>
        <w:tc>
          <w:tcPr>
            <w:tcW w:w="1341" w:type="dxa"/>
            <w:shd w:val="clear" w:color="auto" w:fill="auto"/>
            <w:noWrap/>
          </w:tcPr>
          <w:p w14:paraId="1A6511AE" w14:textId="7B5999FC" w:rsidR="002F7A45" w:rsidRDefault="004469E1"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0</w:t>
            </w:r>
          </w:p>
        </w:tc>
        <w:tc>
          <w:tcPr>
            <w:tcW w:w="1230" w:type="dxa"/>
            <w:shd w:val="clear" w:color="auto" w:fill="auto"/>
            <w:noWrap/>
          </w:tcPr>
          <w:p w14:paraId="326405D2" w14:textId="7C89FFEF" w:rsidR="002F7A45" w:rsidRDefault="002F7A45" w:rsidP="007F00EC">
            <w:pPr>
              <w:spacing w:after="0" w:line="240" w:lineRule="auto"/>
              <w:jc w:val="center"/>
              <w:rPr>
                <w:rFonts w:ascii="Arial Narrow" w:eastAsia="Times New Roman" w:hAnsi="Arial Narrow" w:cs="Times New Roman"/>
                <w:color w:val="000000"/>
                <w:sz w:val="20"/>
                <w:szCs w:val="18"/>
              </w:rPr>
            </w:pPr>
            <w:r w:rsidRPr="008448B5">
              <w:rPr>
                <w:rFonts w:ascii="Arial Narrow" w:eastAsia="Times New Roman" w:hAnsi="Arial Narrow" w:cs="Times New Roman"/>
                <w:color w:val="000000"/>
                <w:sz w:val="20"/>
                <w:szCs w:val="18"/>
              </w:rPr>
              <w:t>0.00</w:t>
            </w:r>
          </w:p>
        </w:tc>
        <w:tc>
          <w:tcPr>
            <w:tcW w:w="1433" w:type="dxa"/>
            <w:shd w:val="clear" w:color="auto" w:fill="auto"/>
            <w:noWrap/>
          </w:tcPr>
          <w:p w14:paraId="42401950" w14:textId="48CDCF01" w:rsidR="002F7A45" w:rsidRDefault="002F7A45" w:rsidP="007F00EC">
            <w:pPr>
              <w:spacing w:after="0" w:line="240" w:lineRule="auto"/>
              <w:jc w:val="center"/>
              <w:rPr>
                <w:rFonts w:ascii="Arial Narrow" w:eastAsia="Times New Roman" w:hAnsi="Arial Narrow" w:cs="Times New Roman"/>
                <w:color w:val="000000"/>
                <w:sz w:val="20"/>
                <w:szCs w:val="18"/>
              </w:rPr>
            </w:pPr>
            <w:r w:rsidRPr="008448B5">
              <w:rPr>
                <w:rFonts w:ascii="Arial Narrow" w:eastAsia="Times New Roman" w:hAnsi="Arial Narrow" w:cs="Times New Roman"/>
                <w:color w:val="000000"/>
                <w:sz w:val="20"/>
                <w:szCs w:val="18"/>
              </w:rPr>
              <w:t>0.00</w:t>
            </w:r>
          </w:p>
        </w:tc>
      </w:tr>
      <w:tr w:rsidR="002F7A45" w14:paraId="0484C131" w14:textId="77777777" w:rsidTr="009570B3">
        <w:trPr>
          <w:trHeight w:val="227"/>
          <w:jc w:val="center"/>
        </w:trPr>
        <w:tc>
          <w:tcPr>
            <w:tcW w:w="2272" w:type="dxa"/>
            <w:tcBorders>
              <w:bottom w:val="single" w:sz="4" w:space="0" w:color="auto"/>
            </w:tcBorders>
            <w:shd w:val="clear" w:color="auto" w:fill="auto"/>
            <w:noWrap/>
            <w:vAlign w:val="bottom"/>
            <w:hideMark/>
          </w:tcPr>
          <w:p w14:paraId="20B64F1C" w14:textId="77777777" w:rsidR="002F7A45" w:rsidRPr="003D772D" w:rsidRDefault="002F7A45" w:rsidP="007F00EC">
            <w:pPr>
              <w:spacing w:after="0" w:line="240" w:lineRule="auto"/>
              <w:jc w:val="center"/>
              <w:rPr>
                <w:rFonts w:ascii="Arial Narrow" w:eastAsia="Times New Roman" w:hAnsi="Arial Narrow" w:cs="Times New Roman"/>
                <w:b/>
                <w:bCs/>
                <w:color w:val="000000"/>
                <w:sz w:val="20"/>
                <w:szCs w:val="18"/>
              </w:rPr>
            </w:pPr>
            <w:r w:rsidRPr="003D772D">
              <w:rPr>
                <w:rFonts w:ascii="Arial Narrow" w:eastAsia="Times New Roman" w:hAnsi="Arial Narrow" w:cs="Times New Roman"/>
                <w:b/>
                <w:bCs/>
                <w:color w:val="000000"/>
                <w:sz w:val="20"/>
                <w:szCs w:val="18"/>
              </w:rPr>
              <w:t>Total</w:t>
            </w:r>
          </w:p>
        </w:tc>
        <w:tc>
          <w:tcPr>
            <w:tcW w:w="1230" w:type="dxa"/>
            <w:gridSpan w:val="2"/>
            <w:tcBorders>
              <w:bottom w:val="single" w:sz="4" w:space="0" w:color="auto"/>
            </w:tcBorders>
            <w:shd w:val="clear" w:color="auto" w:fill="auto"/>
            <w:noWrap/>
            <w:vAlign w:val="bottom"/>
            <w:hideMark/>
          </w:tcPr>
          <w:p w14:paraId="0D05A8B0" w14:textId="77777777" w:rsidR="002F7A45" w:rsidRDefault="002F7A45"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22</w:t>
            </w:r>
          </w:p>
        </w:tc>
        <w:tc>
          <w:tcPr>
            <w:tcW w:w="1341" w:type="dxa"/>
            <w:tcBorders>
              <w:bottom w:val="single" w:sz="4" w:space="0" w:color="auto"/>
            </w:tcBorders>
            <w:shd w:val="clear" w:color="auto" w:fill="auto"/>
            <w:noWrap/>
            <w:vAlign w:val="bottom"/>
            <w:hideMark/>
          </w:tcPr>
          <w:p w14:paraId="2D250E4D" w14:textId="77777777" w:rsidR="002F7A45" w:rsidRDefault="002F7A45"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22</w:t>
            </w:r>
          </w:p>
        </w:tc>
        <w:tc>
          <w:tcPr>
            <w:tcW w:w="1230" w:type="dxa"/>
            <w:tcBorders>
              <w:bottom w:val="single" w:sz="4" w:space="0" w:color="auto"/>
            </w:tcBorders>
            <w:shd w:val="clear" w:color="auto" w:fill="auto"/>
            <w:noWrap/>
            <w:vAlign w:val="bottom"/>
            <w:hideMark/>
          </w:tcPr>
          <w:p w14:paraId="01A279D1" w14:textId="77777777" w:rsidR="002F7A45" w:rsidRDefault="002F7A45"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100.00</w:t>
            </w:r>
          </w:p>
        </w:tc>
        <w:tc>
          <w:tcPr>
            <w:tcW w:w="1433" w:type="dxa"/>
            <w:tcBorders>
              <w:bottom w:val="single" w:sz="4" w:space="0" w:color="auto"/>
            </w:tcBorders>
            <w:shd w:val="clear" w:color="auto" w:fill="auto"/>
            <w:noWrap/>
            <w:vAlign w:val="bottom"/>
            <w:hideMark/>
          </w:tcPr>
          <w:p w14:paraId="5127F23C" w14:textId="77777777" w:rsidR="002F7A45" w:rsidRDefault="002F7A45"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100.00</w:t>
            </w:r>
          </w:p>
        </w:tc>
      </w:tr>
    </w:tbl>
    <w:p w14:paraId="030B6BF1" w14:textId="77777777" w:rsidR="004967C8" w:rsidRDefault="004967C8" w:rsidP="004967C8">
      <w:pPr>
        <w:keepNext/>
        <w:spacing w:before="240" w:after="0"/>
        <w:jc w:val="center"/>
      </w:pPr>
      <w:r>
        <w:rPr>
          <w:noProof/>
          <w:lang w:eastAsia="es-EC"/>
        </w:rPr>
        <w:drawing>
          <wp:inline distT="0" distB="0" distL="0" distR="0" wp14:anchorId="60D738F3" wp14:editId="7D4334A8">
            <wp:extent cx="3219450" cy="1800000"/>
            <wp:effectExtent l="0" t="0" r="0" b="1016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838A9CE" w14:textId="0D6A4F07" w:rsidR="004967C8" w:rsidRDefault="004967C8" w:rsidP="004967C8">
      <w:pPr>
        <w:pStyle w:val="Descripcin"/>
        <w:jc w:val="center"/>
        <w:rPr>
          <w:rFonts w:ascii="Arial Narrow" w:hAnsi="Arial Narrow"/>
          <w:i w:val="0"/>
          <w:iCs w:val="0"/>
          <w:color w:val="0D0D0D" w:themeColor="text1" w:themeTint="F2"/>
          <w:sz w:val="20"/>
          <w:szCs w:val="20"/>
        </w:rPr>
      </w:pPr>
      <w:r w:rsidRPr="006A6746">
        <w:rPr>
          <w:rFonts w:ascii="Arial Narrow" w:hAnsi="Arial Narrow"/>
          <w:b/>
          <w:bCs/>
          <w:i w:val="0"/>
          <w:iCs w:val="0"/>
          <w:color w:val="0D0D0D" w:themeColor="text1" w:themeTint="F2"/>
          <w:sz w:val="20"/>
          <w:szCs w:val="20"/>
        </w:rPr>
        <w:t xml:space="preserve">Figura </w:t>
      </w:r>
      <w:r w:rsidRPr="006A6746">
        <w:rPr>
          <w:rFonts w:ascii="Arial Narrow" w:hAnsi="Arial Narrow"/>
          <w:b/>
          <w:bCs/>
          <w:i w:val="0"/>
          <w:iCs w:val="0"/>
          <w:color w:val="0D0D0D" w:themeColor="text1" w:themeTint="F2"/>
          <w:sz w:val="20"/>
          <w:szCs w:val="20"/>
        </w:rPr>
        <w:fldChar w:fldCharType="begin"/>
      </w:r>
      <w:r w:rsidRPr="006A6746">
        <w:rPr>
          <w:rFonts w:ascii="Arial Narrow" w:hAnsi="Arial Narrow"/>
          <w:b/>
          <w:bCs/>
          <w:i w:val="0"/>
          <w:iCs w:val="0"/>
          <w:color w:val="0D0D0D" w:themeColor="text1" w:themeTint="F2"/>
          <w:sz w:val="20"/>
          <w:szCs w:val="20"/>
        </w:rPr>
        <w:instrText xml:space="preserve"> SEQ Figura \* ARABIC </w:instrText>
      </w:r>
      <w:r w:rsidRPr="006A6746">
        <w:rPr>
          <w:rFonts w:ascii="Arial Narrow" w:hAnsi="Arial Narrow"/>
          <w:b/>
          <w:bCs/>
          <w:i w:val="0"/>
          <w:iCs w:val="0"/>
          <w:color w:val="0D0D0D" w:themeColor="text1" w:themeTint="F2"/>
          <w:sz w:val="20"/>
          <w:szCs w:val="20"/>
        </w:rPr>
        <w:fldChar w:fldCharType="separate"/>
      </w:r>
      <w:r>
        <w:rPr>
          <w:rFonts w:ascii="Arial Narrow" w:hAnsi="Arial Narrow"/>
          <w:b/>
          <w:bCs/>
          <w:i w:val="0"/>
          <w:iCs w:val="0"/>
          <w:noProof/>
          <w:color w:val="0D0D0D" w:themeColor="text1" w:themeTint="F2"/>
          <w:sz w:val="20"/>
          <w:szCs w:val="20"/>
        </w:rPr>
        <w:t>9</w:t>
      </w:r>
      <w:r w:rsidRPr="006A6746">
        <w:rPr>
          <w:rFonts w:ascii="Arial Narrow" w:hAnsi="Arial Narrow"/>
          <w:b/>
          <w:bCs/>
          <w:i w:val="0"/>
          <w:iCs w:val="0"/>
          <w:color w:val="0D0D0D" w:themeColor="text1" w:themeTint="F2"/>
          <w:sz w:val="20"/>
          <w:szCs w:val="20"/>
        </w:rPr>
        <w:fldChar w:fldCharType="end"/>
      </w:r>
      <w:r w:rsidRPr="006A6746">
        <w:rPr>
          <w:rFonts w:ascii="Arial Narrow" w:hAnsi="Arial Narrow"/>
          <w:b/>
          <w:bCs/>
          <w:i w:val="0"/>
          <w:iCs w:val="0"/>
          <w:color w:val="0D0D0D" w:themeColor="text1" w:themeTint="F2"/>
          <w:sz w:val="20"/>
          <w:szCs w:val="20"/>
        </w:rPr>
        <w:t>.</w:t>
      </w:r>
      <w:r w:rsidRPr="006A6746">
        <w:rPr>
          <w:rFonts w:ascii="Arial Narrow" w:hAnsi="Arial Narrow"/>
          <w:i w:val="0"/>
          <w:iCs w:val="0"/>
          <w:color w:val="0D0D0D" w:themeColor="text1" w:themeTint="F2"/>
          <w:sz w:val="20"/>
          <w:szCs w:val="20"/>
        </w:rPr>
        <w:t xml:space="preserve"> </w:t>
      </w:r>
      <w:r>
        <w:rPr>
          <w:rFonts w:ascii="Arial Narrow" w:hAnsi="Arial Narrow"/>
          <w:i w:val="0"/>
          <w:iCs w:val="0"/>
          <w:color w:val="0D0D0D" w:themeColor="text1" w:themeTint="F2"/>
          <w:sz w:val="20"/>
          <w:szCs w:val="20"/>
        </w:rPr>
        <w:t>P</w:t>
      </w:r>
      <w:r w:rsidRPr="0068714E">
        <w:rPr>
          <w:rFonts w:ascii="Arial Narrow" w:hAnsi="Arial Narrow"/>
          <w:i w:val="0"/>
          <w:iCs w:val="0"/>
          <w:color w:val="0D0D0D" w:themeColor="text1" w:themeTint="F2"/>
          <w:sz w:val="20"/>
          <w:szCs w:val="20"/>
        </w:rPr>
        <w:t xml:space="preserve">orcentaje de aciertos en la pregunta </w:t>
      </w:r>
      <w:r>
        <w:rPr>
          <w:rFonts w:ascii="Arial Narrow" w:hAnsi="Arial Narrow"/>
          <w:i w:val="0"/>
          <w:iCs w:val="0"/>
          <w:color w:val="0D0D0D" w:themeColor="text1" w:themeTint="F2"/>
          <w:sz w:val="20"/>
          <w:szCs w:val="20"/>
        </w:rPr>
        <w:t>8</w:t>
      </w:r>
      <w:r w:rsidRPr="0068714E">
        <w:rPr>
          <w:rFonts w:ascii="Arial Narrow" w:hAnsi="Arial Narrow"/>
          <w:i w:val="0"/>
          <w:iCs w:val="0"/>
          <w:color w:val="0D0D0D" w:themeColor="text1" w:themeTint="F2"/>
          <w:sz w:val="20"/>
          <w:szCs w:val="20"/>
        </w:rPr>
        <w:t xml:space="preserve"> de</w:t>
      </w:r>
      <w:r>
        <w:rPr>
          <w:rFonts w:ascii="Arial Narrow" w:hAnsi="Arial Narrow"/>
          <w:i w:val="0"/>
          <w:iCs w:val="0"/>
          <w:color w:val="0D0D0D" w:themeColor="text1" w:themeTint="F2"/>
          <w:sz w:val="20"/>
          <w:szCs w:val="20"/>
        </w:rPr>
        <w:t>l instrumento de</w:t>
      </w:r>
      <w:r w:rsidRPr="0068714E">
        <w:rPr>
          <w:rFonts w:ascii="Arial Narrow" w:hAnsi="Arial Narrow"/>
          <w:i w:val="0"/>
          <w:iCs w:val="0"/>
          <w:color w:val="0D0D0D" w:themeColor="text1" w:themeTint="F2"/>
          <w:sz w:val="20"/>
          <w:szCs w:val="20"/>
        </w:rPr>
        <w:t xml:space="preserve"> evaluación.</w:t>
      </w:r>
    </w:p>
    <w:p w14:paraId="73F42820" w14:textId="7D8AA6DD" w:rsidR="002F7A45" w:rsidRDefault="009570B3" w:rsidP="009570B3">
      <w:r>
        <w:t>Referente a la teoría de los ácidos como donadores de protones, el 90.91% de estudiantes de Medio Ambiente respondieron de forma correcta; mientras que los estudiantes de Agroindustrias alcanzaron un 9</w:t>
      </w:r>
      <w:r w:rsidR="00D23471">
        <w:t>5</w:t>
      </w:r>
      <w:r>
        <w:t>.45% de aciertos (Tabla 8 y figura 9).</w:t>
      </w:r>
    </w:p>
    <w:p w14:paraId="6CC23F86" w14:textId="789E705C" w:rsidR="002F7A45" w:rsidRPr="00FA6BC3" w:rsidRDefault="00FA6BC3" w:rsidP="00FA6BC3">
      <w:pPr>
        <w:pStyle w:val="Prrafodelista"/>
        <w:numPr>
          <w:ilvl w:val="0"/>
          <w:numId w:val="6"/>
        </w:numPr>
        <w:spacing w:line="360" w:lineRule="auto"/>
        <w:jc w:val="both"/>
        <w:rPr>
          <w:rFonts w:cs="Arial"/>
          <w:szCs w:val="24"/>
        </w:rPr>
      </w:pPr>
      <w:r w:rsidRPr="00FA6BC3">
        <w:rPr>
          <w:rFonts w:ascii="Arial" w:hAnsi="Arial" w:cs="Arial"/>
          <w:sz w:val="24"/>
          <w:szCs w:val="24"/>
        </w:rPr>
        <w:t>S</w:t>
      </w:r>
      <w:r>
        <w:rPr>
          <w:rFonts w:ascii="Arial" w:hAnsi="Arial" w:cs="Arial"/>
          <w:sz w:val="24"/>
          <w:szCs w:val="24"/>
        </w:rPr>
        <w:t>í</w:t>
      </w:r>
      <w:r w:rsidRPr="00FA6BC3">
        <w:rPr>
          <w:rFonts w:ascii="Arial" w:hAnsi="Arial" w:cs="Arial"/>
          <w:sz w:val="24"/>
          <w:szCs w:val="24"/>
        </w:rPr>
        <w:t xml:space="preserve"> o No: </w:t>
      </w:r>
      <w:r w:rsidR="002D7366" w:rsidRPr="00FA6BC3">
        <w:rPr>
          <w:rFonts w:ascii="Arial" w:hAnsi="Arial" w:cs="Arial"/>
          <w:sz w:val="24"/>
          <w:szCs w:val="24"/>
        </w:rPr>
        <w:t>El principio</w:t>
      </w:r>
      <w:r w:rsidRPr="00FA6BC3">
        <w:rPr>
          <w:rFonts w:ascii="Arial" w:hAnsi="Arial" w:cs="Arial"/>
          <w:sz w:val="24"/>
          <w:szCs w:val="24"/>
        </w:rPr>
        <w:t xml:space="preserve"> de Le </w:t>
      </w:r>
      <w:proofErr w:type="spellStart"/>
      <w:r w:rsidR="002D7366" w:rsidRPr="00FA6BC3">
        <w:rPr>
          <w:rFonts w:ascii="Arial" w:hAnsi="Arial" w:cs="Arial"/>
          <w:sz w:val="24"/>
          <w:szCs w:val="24"/>
        </w:rPr>
        <w:t>Chatelier</w:t>
      </w:r>
      <w:proofErr w:type="spellEnd"/>
      <w:r w:rsidR="002D7366" w:rsidRPr="00FA6BC3">
        <w:rPr>
          <w:rFonts w:ascii="Arial" w:hAnsi="Arial" w:cs="Arial"/>
          <w:sz w:val="24"/>
          <w:szCs w:val="24"/>
        </w:rPr>
        <w:t xml:space="preserve"> dice</w:t>
      </w:r>
      <w:r w:rsidRPr="00FA6BC3">
        <w:rPr>
          <w:rFonts w:ascii="Arial" w:hAnsi="Arial" w:cs="Arial"/>
          <w:sz w:val="24"/>
          <w:szCs w:val="24"/>
        </w:rPr>
        <w:t xml:space="preserve"> que las variables que pueden perturbar el equilibrio de una </w:t>
      </w:r>
      <w:r w:rsidR="002D7366" w:rsidRPr="00FA6BC3">
        <w:rPr>
          <w:rFonts w:ascii="Arial" w:hAnsi="Arial" w:cs="Arial"/>
          <w:sz w:val="24"/>
          <w:szCs w:val="24"/>
        </w:rPr>
        <w:t>valoración ácido</w:t>
      </w:r>
      <w:r w:rsidRPr="00FA6BC3">
        <w:rPr>
          <w:rFonts w:ascii="Arial" w:hAnsi="Arial" w:cs="Arial"/>
          <w:sz w:val="24"/>
          <w:szCs w:val="24"/>
        </w:rPr>
        <w:t xml:space="preserve">–base son los cambios de concentración de los reactivos y/o productos, cambio de presión de la </w:t>
      </w:r>
      <w:r w:rsidRPr="00FA6BC3">
        <w:rPr>
          <w:rFonts w:ascii="Arial" w:hAnsi="Arial" w:cs="Arial"/>
          <w:sz w:val="24"/>
          <w:szCs w:val="24"/>
        </w:rPr>
        <w:lastRenderedPageBreak/>
        <w:t xml:space="preserve">reacción, cambio de volumen de la reacción, cambios en </w:t>
      </w:r>
      <w:r w:rsidR="002D7366" w:rsidRPr="00FA6BC3">
        <w:rPr>
          <w:rFonts w:ascii="Arial" w:hAnsi="Arial" w:cs="Arial"/>
          <w:sz w:val="24"/>
          <w:szCs w:val="24"/>
        </w:rPr>
        <w:t>la temperatura</w:t>
      </w:r>
      <w:r w:rsidRPr="00FA6BC3">
        <w:rPr>
          <w:rFonts w:ascii="Arial" w:hAnsi="Arial" w:cs="Arial"/>
          <w:sz w:val="24"/>
          <w:szCs w:val="24"/>
        </w:rPr>
        <w:t xml:space="preserve"> de la reacción y efectos del empleo de catalizadores en la reacción.</w:t>
      </w:r>
    </w:p>
    <w:p w14:paraId="0465B5D7" w14:textId="377B9710" w:rsidR="00FC4E0E" w:rsidRPr="0068714E" w:rsidRDefault="00FC4E0E" w:rsidP="00FC4E0E">
      <w:pPr>
        <w:pStyle w:val="Descripcin"/>
        <w:keepNext/>
        <w:spacing w:after="120"/>
        <w:ind w:left="360"/>
        <w:jc w:val="center"/>
        <w:rPr>
          <w:rFonts w:ascii="Arial Narrow" w:hAnsi="Arial Narrow"/>
          <w:i w:val="0"/>
          <w:iCs w:val="0"/>
          <w:color w:val="0D0D0D" w:themeColor="text1" w:themeTint="F2"/>
          <w:sz w:val="20"/>
          <w:szCs w:val="20"/>
        </w:rPr>
      </w:pPr>
      <w:r w:rsidRPr="004064D4">
        <w:rPr>
          <w:rFonts w:ascii="Arial Narrow" w:hAnsi="Arial Narrow"/>
          <w:b/>
          <w:bCs/>
          <w:i w:val="0"/>
          <w:iCs w:val="0"/>
          <w:color w:val="0D0D0D" w:themeColor="text1" w:themeTint="F2"/>
          <w:sz w:val="20"/>
          <w:szCs w:val="20"/>
        </w:rPr>
        <w:t xml:space="preserve">Tabla </w:t>
      </w:r>
      <w:r w:rsidRPr="004064D4">
        <w:rPr>
          <w:rFonts w:ascii="Arial Narrow" w:hAnsi="Arial Narrow"/>
          <w:b/>
          <w:bCs/>
          <w:i w:val="0"/>
          <w:iCs w:val="0"/>
          <w:color w:val="0D0D0D" w:themeColor="text1" w:themeTint="F2"/>
          <w:sz w:val="20"/>
          <w:szCs w:val="20"/>
        </w:rPr>
        <w:fldChar w:fldCharType="begin"/>
      </w:r>
      <w:r w:rsidRPr="004064D4">
        <w:rPr>
          <w:rFonts w:ascii="Arial Narrow" w:hAnsi="Arial Narrow"/>
          <w:b/>
          <w:bCs/>
          <w:i w:val="0"/>
          <w:iCs w:val="0"/>
          <w:color w:val="0D0D0D" w:themeColor="text1" w:themeTint="F2"/>
          <w:sz w:val="20"/>
          <w:szCs w:val="20"/>
        </w:rPr>
        <w:instrText xml:space="preserve"> SEQ Tabla \* ARABIC </w:instrText>
      </w:r>
      <w:r w:rsidRPr="004064D4">
        <w:rPr>
          <w:rFonts w:ascii="Arial Narrow" w:hAnsi="Arial Narrow"/>
          <w:b/>
          <w:bCs/>
          <w:i w:val="0"/>
          <w:iCs w:val="0"/>
          <w:color w:val="0D0D0D" w:themeColor="text1" w:themeTint="F2"/>
          <w:sz w:val="20"/>
          <w:szCs w:val="20"/>
        </w:rPr>
        <w:fldChar w:fldCharType="separate"/>
      </w:r>
      <w:r>
        <w:rPr>
          <w:rFonts w:ascii="Arial Narrow" w:hAnsi="Arial Narrow"/>
          <w:b/>
          <w:bCs/>
          <w:i w:val="0"/>
          <w:iCs w:val="0"/>
          <w:noProof/>
          <w:color w:val="0D0D0D" w:themeColor="text1" w:themeTint="F2"/>
          <w:sz w:val="20"/>
          <w:szCs w:val="20"/>
        </w:rPr>
        <w:t>9</w:t>
      </w:r>
      <w:r w:rsidRPr="004064D4">
        <w:rPr>
          <w:rFonts w:ascii="Arial Narrow" w:hAnsi="Arial Narrow"/>
          <w:b/>
          <w:bCs/>
          <w:i w:val="0"/>
          <w:iCs w:val="0"/>
          <w:color w:val="0D0D0D" w:themeColor="text1" w:themeTint="F2"/>
          <w:sz w:val="20"/>
          <w:szCs w:val="20"/>
        </w:rPr>
        <w:fldChar w:fldCharType="end"/>
      </w:r>
      <w:r>
        <w:rPr>
          <w:rFonts w:ascii="Arial Narrow" w:hAnsi="Arial Narrow"/>
          <w:i w:val="0"/>
          <w:iCs w:val="0"/>
          <w:color w:val="0D0D0D" w:themeColor="text1" w:themeTint="F2"/>
          <w:sz w:val="20"/>
          <w:szCs w:val="20"/>
        </w:rPr>
        <w:t xml:space="preserve">. </w:t>
      </w:r>
      <w:r w:rsidRPr="0068714E">
        <w:rPr>
          <w:rFonts w:ascii="Arial Narrow" w:hAnsi="Arial Narrow"/>
          <w:i w:val="0"/>
          <w:iCs w:val="0"/>
          <w:color w:val="0D0D0D" w:themeColor="text1" w:themeTint="F2"/>
          <w:sz w:val="20"/>
          <w:szCs w:val="20"/>
        </w:rPr>
        <w:t xml:space="preserve">Frecuencia y porcentaje de </w:t>
      </w:r>
      <w:r>
        <w:rPr>
          <w:rFonts w:ascii="Arial Narrow" w:hAnsi="Arial Narrow"/>
          <w:i w:val="0"/>
          <w:iCs w:val="0"/>
          <w:color w:val="0D0D0D" w:themeColor="text1" w:themeTint="F2"/>
          <w:sz w:val="20"/>
          <w:szCs w:val="20"/>
        </w:rPr>
        <w:t>respuestas</w:t>
      </w:r>
      <w:r w:rsidRPr="0068714E">
        <w:rPr>
          <w:rFonts w:ascii="Arial Narrow" w:hAnsi="Arial Narrow"/>
          <w:i w:val="0"/>
          <w:iCs w:val="0"/>
          <w:color w:val="0D0D0D" w:themeColor="text1" w:themeTint="F2"/>
          <w:sz w:val="20"/>
          <w:szCs w:val="20"/>
        </w:rPr>
        <w:t xml:space="preserve"> en la pregunta</w:t>
      </w:r>
      <w:r>
        <w:rPr>
          <w:rFonts w:ascii="Arial Narrow" w:hAnsi="Arial Narrow"/>
          <w:i w:val="0"/>
          <w:iCs w:val="0"/>
          <w:color w:val="0D0D0D" w:themeColor="text1" w:themeTint="F2"/>
          <w:sz w:val="20"/>
          <w:szCs w:val="20"/>
        </w:rPr>
        <w:t xml:space="preserve"> 9</w:t>
      </w:r>
      <w:r w:rsidRPr="0068714E">
        <w:rPr>
          <w:rFonts w:ascii="Arial Narrow" w:hAnsi="Arial Narrow"/>
          <w:i w:val="0"/>
          <w:iCs w:val="0"/>
          <w:color w:val="0D0D0D" w:themeColor="text1" w:themeTint="F2"/>
          <w:sz w:val="20"/>
          <w:szCs w:val="20"/>
        </w:rPr>
        <w:t xml:space="preserve"> de la evaluación.</w:t>
      </w:r>
    </w:p>
    <w:tbl>
      <w:tblPr>
        <w:tblW w:w="6238" w:type="dxa"/>
        <w:jc w:val="center"/>
        <w:tblCellMar>
          <w:left w:w="70" w:type="dxa"/>
          <w:right w:w="70" w:type="dxa"/>
        </w:tblCellMar>
        <w:tblLook w:val="04A0" w:firstRow="1" w:lastRow="0" w:firstColumn="1" w:lastColumn="0" w:noHBand="0" w:noVBand="1"/>
      </w:tblPr>
      <w:tblGrid>
        <w:gridCol w:w="1004"/>
        <w:gridCol w:w="1215"/>
        <w:gridCol w:w="15"/>
        <w:gridCol w:w="1341"/>
        <w:gridCol w:w="1230"/>
        <w:gridCol w:w="1433"/>
      </w:tblGrid>
      <w:tr w:rsidR="00FC4E0E" w14:paraId="61EB5D33" w14:textId="77777777" w:rsidTr="007F00EC">
        <w:trPr>
          <w:trHeight w:val="227"/>
          <w:jc w:val="center"/>
        </w:trPr>
        <w:tc>
          <w:tcPr>
            <w:tcW w:w="1004" w:type="dxa"/>
            <w:vMerge w:val="restart"/>
            <w:tcBorders>
              <w:top w:val="single" w:sz="4" w:space="0" w:color="auto"/>
            </w:tcBorders>
            <w:shd w:val="clear" w:color="auto" w:fill="auto"/>
            <w:noWrap/>
            <w:vAlign w:val="center"/>
            <w:hideMark/>
          </w:tcPr>
          <w:p w14:paraId="4CFD9ECB" w14:textId="77777777" w:rsidR="00FC4E0E" w:rsidRPr="00FE69AA" w:rsidRDefault="00FC4E0E" w:rsidP="007F00EC">
            <w:pPr>
              <w:spacing w:after="0" w:line="240" w:lineRule="auto"/>
              <w:jc w:val="center"/>
              <w:rPr>
                <w:rFonts w:ascii="Arial Narrow" w:eastAsia="Times New Roman" w:hAnsi="Arial Narrow" w:cs="Times New Roman"/>
                <w:b/>
                <w:bCs/>
                <w:color w:val="000000"/>
                <w:sz w:val="20"/>
                <w:szCs w:val="18"/>
                <w:lang w:val="es-ES" w:eastAsia="es-ES"/>
              </w:rPr>
            </w:pPr>
            <w:r w:rsidRPr="00FE69AA">
              <w:rPr>
                <w:rFonts w:ascii="Arial Narrow" w:eastAsia="Times New Roman" w:hAnsi="Arial Narrow" w:cs="Times New Roman"/>
                <w:b/>
                <w:bCs/>
                <w:color w:val="000000"/>
                <w:sz w:val="20"/>
                <w:szCs w:val="18"/>
              </w:rPr>
              <w:t>Variables</w:t>
            </w:r>
          </w:p>
        </w:tc>
        <w:tc>
          <w:tcPr>
            <w:tcW w:w="2571" w:type="dxa"/>
            <w:gridSpan w:val="3"/>
            <w:tcBorders>
              <w:top w:val="single" w:sz="4" w:space="0" w:color="auto"/>
              <w:bottom w:val="single" w:sz="4" w:space="0" w:color="auto"/>
            </w:tcBorders>
            <w:shd w:val="clear" w:color="auto" w:fill="auto"/>
            <w:noWrap/>
            <w:vAlign w:val="center"/>
            <w:hideMark/>
          </w:tcPr>
          <w:p w14:paraId="38C1B999" w14:textId="77777777" w:rsidR="00FC4E0E" w:rsidRPr="00FE69AA" w:rsidRDefault="00FC4E0E" w:rsidP="007F00EC">
            <w:pPr>
              <w:spacing w:after="0" w:line="240" w:lineRule="auto"/>
              <w:jc w:val="center"/>
              <w:rPr>
                <w:rFonts w:ascii="Arial Narrow" w:eastAsia="Times New Roman" w:hAnsi="Arial Narrow" w:cs="Times New Roman"/>
                <w:b/>
                <w:bCs/>
                <w:color w:val="000000"/>
                <w:sz w:val="20"/>
                <w:szCs w:val="18"/>
              </w:rPr>
            </w:pPr>
            <w:r w:rsidRPr="00FE69AA">
              <w:rPr>
                <w:rFonts w:ascii="Arial Narrow" w:eastAsia="Times New Roman" w:hAnsi="Arial Narrow" w:cs="Times New Roman"/>
                <w:b/>
                <w:bCs/>
                <w:color w:val="000000"/>
                <w:sz w:val="20"/>
                <w:szCs w:val="18"/>
              </w:rPr>
              <w:t>Frecuencia</w:t>
            </w:r>
          </w:p>
        </w:tc>
        <w:tc>
          <w:tcPr>
            <w:tcW w:w="2663" w:type="dxa"/>
            <w:gridSpan w:val="2"/>
            <w:tcBorders>
              <w:top w:val="single" w:sz="4" w:space="0" w:color="auto"/>
              <w:bottom w:val="single" w:sz="4" w:space="0" w:color="auto"/>
            </w:tcBorders>
            <w:shd w:val="clear" w:color="auto" w:fill="auto"/>
            <w:noWrap/>
            <w:vAlign w:val="center"/>
            <w:hideMark/>
          </w:tcPr>
          <w:p w14:paraId="7AF9F2FA" w14:textId="77777777" w:rsidR="00FC4E0E" w:rsidRPr="00FE69AA" w:rsidRDefault="00FC4E0E" w:rsidP="007F00EC">
            <w:pPr>
              <w:spacing w:after="0" w:line="240" w:lineRule="auto"/>
              <w:jc w:val="center"/>
              <w:rPr>
                <w:rFonts w:ascii="Arial Narrow" w:eastAsia="Times New Roman" w:hAnsi="Arial Narrow" w:cs="Times New Roman"/>
                <w:b/>
                <w:bCs/>
                <w:color w:val="000000"/>
                <w:sz w:val="20"/>
                <w:szCs w:val="18"/>
              </w:rPr>
            </w:pPr>
            <w:r w:rsidRPr="00FE69AA">
              <w:rPr>
                <w:rFonts w:ascii="Arial Narrow" w:eastAsia="Times New Roman" w:hAnsi="Arial Narrow" w:cs="Times New Roman"/>
                <w:b/>
                <w:bCs/>
                <w:color w:val="000000"/>
                <w:sz w:val="20"/>
                <w:szCs w:val="18"/>
              </w:rPr>
              <w:t>Porcentaje</w:t>
            </w:r>
          </w:p>
        </w:tc>
      </w:tr>
      <w:tr w:rsidR="00FC4E0E" w14:paraId="25A019F5" w14:textId="77777777" w:rsidTr="007F00EC">
        <w:trPr>
          <w:trHeight w:val="227"/>
          <w:jc w:val="center"/>
        </w:trPr>
        <w:tc>
          <w:tcPr>
            <w:tcW w:w="1004" w:type="dxa"/>
            <w:vMerge/>
            <w:tcBorders>
              <w:bottom w:val="single" w:sz="4" w:space="0" w:color="auto"/>
            </w:tcBorders>
            <w:shd w:val="clear" w:color="auto" w:fill="auto"/>
            <w:noWrap/>
            <w:vAlign w:val="center"/>
          </w:tcPr>
          <w:p w14:paraId="1D635B73" w14:textId="77777777" w:rsidR="00FC4E0E" w:rsidRPr="00FE69AA" w:rsidRDefault="00FC4E0E" w:rsidP="007F00EC">
            <w:pPr>
              <w:spacing w:after="0" w:line="240" w:lineRule="auto"/>
              <w:jc w:val="center"/>
              <w:rPr>
                <w:rFonts w:ascii="Arial Narrow" w:eastAsia="Times New Roman" w:hAnsi="Arial Narrow" w:cs="Times New Roman"/>
                <w:b/>
                <w:bCs/>
                <w:color w:val="000000"/>
                <w:sz w:val="20"/>
                <w:szCs w:val="18"/>
              </w:rPr>
            </w:pPr>
          </w:p>
        </w:tc>
        <w:tc>
          <w:tcPr>
            <w:tcW w:w="1215" w:type="dxa"/>
            <w:tcBorders>
              <w:top w:val="single" w:sz="4" w:space="0" w:color="auto"/>
              <w:bottom w:val="single" w:sz="4" w:space="0" w:color="auto"/>
            </w:tcBorders>
            <w:shd w:val="clear" w:color="auto" w:fill="auto"/>
            <w:noWrap/>
            <w:vAlign w:val="center"/>
          </w:tcPr>
          <w:p w14:paraId="07B8102A" w14:textId="77777777" w:rsidR="00FC4E0E" w:rsidRPr="00FE69AA" w:rsidRDefault="00FC4E0E"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M. Ambiente</w:t>
            </w:r>
          </w:p>
        </w:tc>
        <w:tc>
          <w:tcPr>
            <w:tcW w:w="1356" w:type="dxa"/>
            <w:gridSpan w:val="2"/>
            <w:tcBorders>
              <w:top w:val="single" w:sz="4" w:space="0" w:color="auto"/>
              <w:bottom w:val="single" w:sz="4" w:space="0" w:color="auto"/>
            </w:tcBorders>
            <w:shd w:val="clear" w:color="auto" w:fill="auto"/>
            <w:vAlign w:val="center"/>
          </w:tcPr>
          <w:p w14:paraId="3B50D660" w14:textId="77777777" w:rsidR="00FC4E0E" w:rsidRPr="00FE69AA" w:rsidRDefault="00FC4E0E"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Agroindustrias</w:t>
            </w:r>
          </w:p>
        </w:tc>
        <w:tc>
          <w:tcPr>
            <w:tcW w:w="1230" w:type="dxa"/>
            <w:tcBorders>
              <w:top w:val="single" w:sz="4" w:space="0" w:color="auto"/>
              <w:bottom w:val="single" w:sz="4" w:space="0" w:color="auto"/>
            </w:tcBorders>
            <w:shd w:val="clear" w:color="auto" w:fill="auto"/>
            <w:noWrap/>
            <w:vAlign w:val="center"/>
          </w:tcPr>
          <w:p w14:paraId="273D06C8" w14:textId="77777777" w:rsidR="00FC4E0E" w:rsidRPr="00FE69AA" w:rsidRDefault="00FC4E0E"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M. Ambiente</w:t>
            </w:r>
          </w:p>
        </w:tc>
        <w:tc>
          <w:tcPr>
            <w:tcW w:w="1433" w:type="dxa"/>
            <w:tcBorders>
              <w:top w:val="single" w:sz="4" w:space="0" w:color="auto"/>
              <w:bottom w:val="single" w:sz="4" w:space="0" w:color="auto"/>
            </w:tcBorders>
            <w:shd w:val="clear" w:color="auto" w:fill="auto"/>
            <w:vAlign w:val="center"/>
          </w:tcPr>
          <w:p w14:paraId="6B39DB54" w14:textId="77777777" w:rsidR="00FC4E0E" w:rsidRPr="00FE69AA" w:rsidRDefault="00FC4E0E" w:rsidP="007F00EC">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Agroindustrias</w:t>
            </w:r>
          </w:p>
        </w:tc>
      </w:tr>
      <w:tr w:rsidR="00FC4E0E" w14:paraId="44C6E4C7" w14:textId="77777777" w:rsidTr="007F00EC">
        <w:trPr>
          <w:trHeight w:val="227"/>
          <w:jc w:val="center"/>
        </w:trPr>
        <w:tc>
          <w:tcPr>
            <w:tcW w:w="1004" w:type="dxa"/>
            <w:tcBorders>
              <w:top w:val="single" w:sz="4" w:space="0" w:color="auto"/>
            </w:tcBorders>
            <w:shd w:val="clear" w:color="auto" w:fill="auto"/>
            <w:noWrap/>
            <w:vAlign w:val="bottom"/>
            <w:hideMark/>
          </w:tcPr>
          <w:p w14:paraId="0A1089F9" w14:textId="2276888D" w:rsidR="00FC4E0E" w:rsidRDefault="00FC4E0E"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Sí</w:t>
            </w:r>
          </w:p>
        </w:tc>
        <w:tc>
          <w:tcPr>
            <w:tcW w:w="1230" w:type="dxa"/>
            <w:gridSpan w:val="2"/>
            <w:tcBorders>
              <w:top w:val="single" w:sz="4" w:space="0" w:color="auto"/>
            </w:tcBorders>
            <w:shd w:val="clear" w:color="auto" w:fill="auto"/>
            <w:noWrap/>
            <w:vAlign w:val="bottom"/>
            <w:hideMark/>
          </w:tcPr>
          <w:p w14:paraId="3789D140" w14:textId="2108AD7C" w:rsidR="00FC4E0E" w:rsidRDefault="00FC4E0E"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19</w:t>
            </w:r>
          </w:p>
        </w:tc>
        <w:tc>
          <w:tcPr>
            <w:tcW w:w="1341" w:type="dxa"/>
            <w:tcBorders>
              <w:top w:val="single" w:sz="4" w:space="0" w:color="auto"/>
            </w:tcBorders>
            <w:shd w:val="clear" w:color="auto" w:fill="auto"/>
            <w:noWrap/>
            <w:vAlign w:val="bottom"/>
            <w:hideMark/>
          </w:tcPr>
          <w:p w14:paraId="3D2D5C24" w14:textId="398C9689" w:rsidR="00FC4E0E" w:rsidRDefault="00FC4E0E"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21</w:t>
            </w:r>
          </w:p>
        </w:tc>
        <w:tc>
          <w:tcPr>
            <w:tcW w:w="1230" w:type="dxa"/>
            <w:tcBorders>
              <w:top w:val="single" w:sz="4" w:space="0" w:color="auto"/>
            </w:tcBorders>
            <w:shd w:val="clear" w:color="auto" w:fill="auto"/>
            <w:noWrap/>
            <w:vAlign w:val="bottom"/>
            <w:hideMark/>
          </w:tcPr>
          <w:p w14:paraId="1034AD65" w14:textId="15ACB30E" w:rsidR="00FC4E0E" w:rsidRDefault="00FC4E0E"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86.36</w:t>
            </w:r>
          </w:p>
        </w:tc>
        <w:tc>
          <w:tcPr>
            <w:tcW w:w="1433" w:type="dxa"/>
            <w:tcBorders>
              <w:top w:val="single" w:sz="4" w:space="0" w:color="auto"/>
            </w:tcBorders>
            <w:shd w:val="clear" w:color="auto" w:fill="auto"/>
            <w:noWrap/>
            <w:vAlign w:val="bottom"/>
            <w:hideMark/>
          </w:tcPr>
          <w:p w14:paraId="4FECA6C6" w14:textId="7A55E100" w:rsidR="00FC4E0E" w:rsidRDefault="00FC4E0E"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95.45</w:t>
            </w:r>
          </w:p>
        </w:tc>
      </w:tr>
      <w:tr w:rsidR="00FC4E0E" w14:paraId="140D29A0" w14:textId="77777777" w:rsidTr="007F00EC">
        <w:trPr>
          <w:trHeight w:val="227"/>
          <w:jc w:val="center"/>
        </w:trPr>
        <w:tc>
          <w:tcPr>
            <w:tcW w:w="1004" w:type="dxa"/>
            <w:shd w:val="clear" w:color="auto" w:fill="auto"/>
            <w:noWrap/>
            <w:vAlign w:val="bottom"/>
            <w:hideMark/>
          </w:tcPr>
          <w:p w14:paraId="1D4380E2" w14:textId="4BD26930" w:rsidR="00FC4E0E" w:rsidRDefault="00FC4E0E"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No</w:t>
            </w:r>
          </w:p>
        </w:tc>
        <w:tc>
          <w:tcPr>
            <w:tcW w:w="1230" w:type="dxa"/>
            <w:gridSpan w:val="2"/>
            <w:shd w:val="clear" w:color="auto" w:fill="auto"/>
            <w:noWrap/>
            <w:vAlign w:val="bottom"/>
            <w:hideMark/>
          </w:tcPr>
          <w:p w14:paraId="41B428BB" w14:textId="0871386B" w:rsidR="00FC4E0E" w:rsidRDefault="00FC4E0E"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3</w:t>
            </w:r>
          </w:p>
        </w:tc>
        <w:tc>
          <w:tcPr>
            <w:tcW w:w="1341" w:type="dxa"/>
            <w:shd w:val="clear" w:color="auto" w:fill="auto"/>
            <w:noWrap/>
            <w:vAlign w:val="bottom"/>
            <w:hideMark/>
          </w:tcPr>
          <w:p w14:paraId="378B647A" w14:textId="4FB02AFF" w:rsidR="00FC4E0E" w:rsidRDefault="00FC4E0E"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w:t>
            </w:r>
          </w:p>
        </w:tc>
        <w:tc>
          <w:tcPr>
            <w:tcW w:w="1230" w:type="dxa"/>
            <w:shd w:val="clear" w:color="auto" w:fill="auto"/>
            <w:noWrap/>
            <w:vAlign w:val="bottom"/>
            <w:hideMark/>
          </w:tcPr>
          <w:p w14:paraId="799A6E4A" w14:textId="18642E60" w:rsidR="00FC4E0E" w:rsidRDefault="00FC4E0E"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13.64</w:t>
            </w:r>
          </w:p>
        </w:tc>
        <w:tc>
          <w:tcPr>
            <w:tcW w:w="1433" w:type="dxa"/>
            <w:shd w:val="clear" w:color="auto" w:fill="auto"/>
            <w:noWrap/>
            <w:vAlign w:val="bottom"/>
            <w:hideMark/>
          </w:tcPr>
          <w:p w14:paraId="34860226" w14:textId="2BA2A52D" w:rsidR="00FC4E0E" w:rsidRDefault="00FC4E0E"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4.55</w:t>
            </w:r>
          </w:p>
        </w:tc>
      </w:tr>
      <w:tr w:rsidR="00FC4E0E" w14:paraId="20A9FF60" w14:textId="77777777" w:rsidTr="007F00EC">
        <w:trPr>
          <w:trHeight w:val="227"/>
          <w:jc w:val="center"/>
        </w:trPr>
        <w:tc>
          <w:tcPr>
            <w:tcW w:w="1004" w:type="dxa"/>
            <w:tcBorders>
              <w:bottom w:val="single" w:sz="4" w:space="0" w:color="auto"/>
            </w:tcBorders>
            <w:shd w:val="clear" w:color="auto" w:fill="auto"/>
            <w:noWrap/>
            <w:vAlign w:val="bottom"/>
            <w:hideMark/>
          </w:tcPr>
          <w:p w14:paraId="58028CFB" w14:textId="77777777" w:rsidR="00FC4E0E" w:rsidRPr="003D772D" w:rsidRDefault="00FC4E0E" w:rsidP="007F00EC">
            <w:pPr>
              <w:spacing w:after="0" w:line="240" w:lineRule="auto"/>
              <w:jc w:val="center"/>
              <w:rPr>
                <w:rFonts w:ascii="Arial Narrow" w:eastAsia="Times New Roman" w:hAnsi="Arial Narrow" w:cs="Times New Roman"/>
                <w:b/>
                <w:bCs/>
                <w:color w:val="000000"/>
                <w:sz w:val="20"/>
                <w:szCs w:val="18"/>
              </w:rPr>
            </w:pPr>
            <w:r w:rsidRPr="003D772D">
              <w:rPr>
                <w:rFonts w:ascii="Arial Narrow" w:eastAsia="Times New Roman" w:hAnsi="Arial Narrow" w:cs="Times New Roman"/>
                <w:b/>
                <w:bCs/>
                <w:color w:val="000000"/>
                <w:sz w:val="20"/>
                <w:szCs w:val="18"/>
              </w:rPr>
              <w:t>Total</w:t>
            </w:r>
          </w:p>
        </w:tc>
        <w:tc>
          <w:tcPr>
            <w:tcW w:w="1230" w:type="dxa"/>
            <w:gridSpan w:val="2"/>
            <w:tcBorders>
              <w:bottom w:val="single" w:sz="4" w:space="0" w:color="auto"/>
            </w:tcBorders>
            <w:shd w:val="clear" w:color="auto" w:fill="auto"/>
            <w:noWrap/>
            <w:vAlign w:val="bottom"/>
            <w:hideMark/>
          </w:tcPr>
          <w:p w14:paraId="74E75950" w14:textId="77777777" w:rsidR="00FC4E0E" w:rsidRDefault="00FC4E0E"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22</w:t>
            </w:r>
          </w:p>
        </w:tc>
        <w:tc>
          <w:tcPr>
            <w:tcW w:w="1341" w:type="dxa"/>
            <w:tcBorders>
              <w:bottom w:val="single" w:sz="4" w:space="0" w:color="auto"/>
            </w:tcBorders>
            <w:shd w:val="clear" w:color="auto" w:fill="auto"/>
            <w:noWrap/>
            <w:vAlign w:val="bottom"/>
            <w:hideMark/>
          </w:tcPr>
          <w:p w14:paraId="6A5A53FC" w14:textId="77777777" w:rsidR="00FC4E0E" w:rsidRDefault="00FC4E0E"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22</w:t>
            </w:r>
          </w:p>
        </w:tc>
        <w:tc>
          <w:tcPr>
            <w:tcW w:w="1230" w:type="dxa"/>
            <w:tcBorders>
              <w:bottom w:val="single" w:sz="4" w:space="0" w:color="auto"/>
            </w:tcBorders>
            <w:shd w:val="clear" w:color="auto" w:fill="auto"/>
            <w:noWrap/>
            <w:vAlign w:val="bottom"/>
            <w:hideMark/>
          </w:tcPr>
          <w:p w14:paraId="2654E98D" w14:textId="77777777" w:rsidR="00FC4E0E" w:rsidRDefault="00FC4E0E"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100.00</w:t>
            </w:r>
          </w:p>
        </w:tc>
        <w:tc>
          <w:tcPr>
            <w:tcW w:w="1433" w:type="dxa"/>
            <w:tcBorders>
              <w:bottom w:val="single" w:sz="4" w:space="0" w:color="auto"/>
            </w:tcBorders>
            <w:shd w:val="clear" w:color="auto" w:fill="auto"/>
            <w:noWrap/>
            <w:vAlign w:val="bottom"/>
            <w:hideMark/>
          </w:tcPr>
          <w:p w14:paraId="22909B7E" w14:textId="77777777" w:rsidR="00FC4E0E" w:rsidRDefault="00FC4E0E" w:rsidP="007F00EC">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100.00</w:t>
            </w:r>
          </w:p>
        </w:tc>
      </w:tr>
    </w:tbl>
    <w:p w14:paraId="165B34DF" w14:textId="77777777" w:rsidR="00294AAE" w:rsidRDefault="00294AAE" w:rsidP="009B6762">
      <w:pPr>
        <w:keepNext/>
        <w:spacing w:before="240" w:after="0"/>
        <w:jc w:val="center"/>
      </w:pPr>
      <w:r>
        <w:rPr>
          <w:noProof/>
          <w:lang w:eastAsia="es-EC"/>
        </w:rPr>
        <w:drawing>
          <wp:inline distT="0" distB="0" distL="0" distR="0" wp14:anchorId="053FA576" wp14:editId="08F43927">
            <wp:extent cx="2771775" cy="1800000"/>
            <wp:effectExtent l="0" t="0" r="9525" b="1016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40815F8" w14:textId="37FC3079" w:rsidR="00294AAE" w:rsidRDefault="00294AAE" w:rsidP="00294AAE">
      <w:pPr>
        <w:pStyle w:val="Descripcin"/>
        <w:jc w:val="center"/>
        <w:rPr>
          <w:rFonts w:ascii="Arial Narrow" w:hAnsi="Arial Narrow"/>
          <w:i w:val="0"/>
          <w:iCs w:val="0"/>
          <w:color w:val="0D0D0D" w:themeColor="text1" w:themeTint="F2"/>
          <w:sz w:val="20"/>
          <w:szCs w:val="20"/>
        </w:rPr>
      </w:pPr>
      <w:r w:rsidRPr="006A6746">
        <w:rPr>
          <w:rFonts w:ascii="Arial Narrow" w:hAnsi="Arial Narrow"/>
          <w:b/>
          <w:bCs/>
          <w:i w:val="0"/>
          <w:iCs w:val="0"/>
          <w:color w:val="0D0D0D" w:themeColor="text1" w:themeTint="F2"/>
          <w:sz w:val="20"/>
          <w:szCs w:val="20"/>
        </w:rPr>
        <w:t xml:space="preserve">Figura </w:t>
      </w:r>
      <w:r w:rsidRPr="006A6746">
        <w:rPr>
          <w:rFonts w:ascii="Arial Narrow" w:hAnsi="Arial Narrow"/>
          <w:b/>
          <w:bCs/>
          <w:i w:val="0"/>
          <w:iCs w:val="0"/>
          <w:color w:val="0D0D0D" w:themeColor="text1" w:themeTint="F2"/>
          <w:sz w:val="20"/>
          <w:szCs w:val="20"/>
        </w:rPr>
        <w:fldChar w:fldCharType="begin"/>
      </w:r>
      <w:r w:rsidRPr="006A6746">
        <w:rPr>
          <w:rFonts w:ascii="Arial Narrow" w:hAnsi="Arial Narrow"/>
          <w:b/>
          <w:bCs/>
          <w:i w:val="0"/>
          <w:iCs w:val="0"/>
          <w:color w:val="0D0D0D" w:themeColor="text1" w:themeTint="F2"/>
          <w:sz w:val="20"/>
          <w:szCs w:val="20"/>
        </w:rPr>
        <w:instrText xml:space="preserve"> SEQ Figura \* ARABIC </w:instrText>
      </w:r>
      <w:r w:rsidRPr="006A6746">
        <w:rPr>
          <w:rFonts w:ascii="Arial Narrow" w:hAnsi="Arial Narrow"/>
          <w:b/>
          <w:bCs/>
          <w:i w:val="0"/>
          <w:iCs w:val="0"/>
          <w:color w:val="0D0D0D" w:themeColor="text1" w:themeTint="F2"/>
          <w:sz w:val="20"/>
          <w:szCs w:val="20"/>
        </w:rPr>
        <w:fldChar w:fldCharType="separate"/>
      </w:r>
      <w:r>
        <w:rPr>
          <w:rFonts w:ascii="Arial Narrow" w:hAnsi="Arial Narrow"/>
          <w:b/>
          <w:bCs/>
          <w:i w:val="0"/>
          <w:iCs w:val="0"/>
          <w:noProof/>
          <w:color w:val="0D0D0D" w:themeColor="text1" w:themeTint="F2"/>
          <w:sz w:val="20"/>
          <w:szCs w:val="20"/>
        </w:rPr>
        <w:t>10</w:t>
      </w:r>
      <w:r w:rsidRPr="006A6746">
        <w:rPr>
          <w:rFonts w:ascii="Arial Narrow" w:hAnsi="Arial Narrow"/>
          <w:b/>
          <w:bCs/>
          <w:i w:val="0"/>
          <w:iCs w:val="0"/>
          <w:color w:val="0D0D0D" w:themeColor="text1" w:themeTint="F2"/>
          <w:sz w:val="20"/>
          <w:szCs w:val="20"/>
        </w:rPr>
        <w:fldChar w:fldCharType="end"/>
      </w:r>
      <w:r w:rsidRPr="006A6746">
        <w:rPr>
          <w:rFonts w:ascii="Arial Narrow" w:hAnsi="Arial Narrow"/>
          <w:b/>
          <w:bCs/>
          <w:i w:val="0"/>
          <w:iCs w:val="0"/>
          <w:color w:val="0D0D0D" w:themeColor="text1" w:themeTint="F2"/>
          <w:sz w:val="20"/>
          <w:szCs w:val="20"/>
        </w:rPr>
        <w:t>.</w:t>
      </w:r>
      <w:r w:rsidRPr="006A6746">
        <w:rPr>
          <w:rFonts w:ascii="Arial Narrow" w:hAnsi="Arial Narrow"/>
          <w:i w:val="0"/>
          <w:iCs w:val="0"/>
          <w:color w:val="0D0D0D" w:themeColor="text1" w:themeTint="F2"/>
          <w:sz w:val="20"/>
          <w:szCs w:val="20"/>
        </w:rPr>
        <w:t xml:space="preserve"> </w:t>
      </w:r>
      <w:r>
        <w:rPr>
          <w:rFonts w:ascii="Arial Narrow" w:hAnsi="Arial Narrow"/>
          <w:i w:val="0"/>
          <w:iCs w:val="0"/>
          <w:color w:val="0D0D0D" w:themeColor="text1" w:themeTint="F2"/>
          <w:sz w:val="20"/>
          <w:szCs w:val="20"/>
        </w:rPr>
        <w:t>P</w:t>
      </w:r>
      <w:r w:rsidRPr="0068714E">
        <w:rPr>
          <w:rFonts w:ascii="Arial Narrow" w:hAnsi="Arial Narrow"/>
          <w:i w:val="0"/>
          <w:iCs w:val="0"/>
          <w:color w:val="0D0D0D" w:themeColor="text1" w:themeTint="F2"/>
          <w:sz w:val="20"/>
          <w:szCs w:val="20"/>
        </w:rPr>
        <w:t xml:space="preserve">orcentaje de aciertos en la pregunta </w:t>
      </w:r>
      <w:r>
        <w:rPr>
          <w:rFonts w:ascii="Arial Narrow" w:hAnsi="Arial Narrow"/>
          <w:i w:val="0"/>
          <w:iCs w:val="0"/>
          <w:color w:val="0D0D0D" w:themeColor="text1" w:themeTint="F2"/>
          <w:sz w:val="20"/>
          <w:szCs w:val="20"/>
        </w:rPr>
        <w:t>9</w:t>
      </w:r>
      <w:r w:rsidRPr="0068714E">
        <w:rPr>
          <w:rFonts w:ascii="Arial Narrow" w:hAnsi="Arial Narrow"/>
          <w:i w:val="0"/>
          <w:iCs w:val="0"/>
          <w:color w:val="0D0D0D" w:themeColor="text1" w:themeTint="F2"/>
          <w:sz w:val="20"/>
          <w:szCs w:val="20"/>
        </w:rPr>
        <w:t xml:space="preserve"> de</w:t>
      </w:r>
      <w:r>
        <w:rPr>
          <w:rFonts w:ascii="Arial Narrow" w:hAnsi="Arial Narrow"/>
          <w:i w:val="0"/>
          <w:iCs w:val="0"/>
          <w:color w:val="0D0D0D" w:themeColor="text1" w:themeTint="F2"/>
          <w:sz w:val="20"/>
          <w:szCs w:val="20"/>
        </w:rPr>
        <w:t>l instrumento de</w:t>
      </w:r>
      <w:r w:rsidRPr="0068714E">
        <w:rPr>
          <w:rFonts w:ascii="Arial Narrow" w:hAnsi="Arial Narrow"/>
          <w:i w:val="0"/>
          <w:iCs w:val="0"/>
          <w:color w:val="0D0D0D" w:themeColor="text1" w:themeTint="F2"/>
          <w:sz w:val="20"/>
          <w:szCs w:val="20"/>
        </w:rPr>
        <w:t xml:space="preserve"> evaluación.</w:t>
      </w:r>
    </w:p>
    <w:p w14:paraId="3AE647F7" w14:textId="7EFEDB71" w:rsidR="00297360" w:rsidRDefault="00581B98" w:rsidP="00D23471">
      <w:r>
        <w:t>El mayor porcentaje de aciertos (95.45%) lo obtuvo el grupo de estudiantes de Agroindustrias, aunque, el grupo de Medio Ambiente también acertó en su mayoría (86.36%), como se muestra en la tabla 9 y figura 10.</w:t>
      </w:r>
    </w:p>
    <w:p w14:paraId="3F4B108B" w14:textId="1235817A" w:rsidR="00581B98" w:rsidRPr="00FA6BC3" w:rsidRDefault="00581B98" w:rsidP="00581B98">
      <w:pPr>
        <w:pStyle w:val="Prrafodelista"/>
        <w:numPr>
          <w:ilvl w:val="0"/>
          <w:numId w:val="6"/>
        </w:numPr>
        <w:spacing w:line="360" w:lineRule="auto"/>
        <w:ind w:left="426" w:hanging="66"/>
        <w:jc w:val="both"/>
        <w:rPr>
          <w:rFonts w:cs="Arial"/>
          <w:szCs w:val="24"/>
        </w:rPr>
      </w:pPr>
      <w:r w:rsidRPr="00581B98">
        <w:rPr>
          <w:rFonts w:ascii="Arial" w:hAnsi="Arial" w:cs="Arial"/>
          <w:sz w:val="24"/>
          <w:szCs w:val="24"/>
        </w:rPr>
        <w:t>Puntualice un concepto de ácido-base</w:t>
      </w:r>
    </w:p>
    <w:p w14:paraId="594CF323" w14:textId="3B04EBCD" w:rsidR="005D596E" w:rsidRPr="0068714E" w:rsidRDefault="005D596E" w:rsidP="005D596E">
      <w:pPr>
        <w:pStyle w:val="Descripcin"/>
        <w:keepNext/>
        <w:spacing w:after="120"/>
        <w:ind w:left="360"/>
        <w:jc w:val="center"/>
        <w:rPr>
          <w:rFonts w:ascii="Arial Narrow" w:hAnsi="Arial Narrow"/>
          <w:i w:val="0"/>
          <w:iCs w:val="0"/>
          <w:color w:val="0D0D0D" w:themeColor="text1" w:themeTint="F2"/>
          <w:sz w:val="20"/>
          <w:szCs w:val="20"/>
        </w:rPr>
      </w:pPr>
      <w:r w:rsidRPr="004064D4">
        <w:rPr>
          <w:rFonts w:ascii="Arial Narrow" w:hAnsi="Arial Narrow"/>
          <w:b/>
          <w:bCs/>
          <w:i w:val="0"/>
          <w:iCs w:val="0"/>
          <w:color w:val="0D0D0D" w:themeColor="text1" w:themeTint="F2"/>
          <w:sz w:val="20"/>
          <w:szCs w:val="20"/>
        </w:rPr>
        <w:t xml:space="preserve">Tabla </w:t>
      </w:r>
      <w:r w:rsidRPr="004064D4">
        <w:rPr>
          <w:rFonts w:ascii="Arial Narrow" w:hAnsi="Arial Narrow"/>
          <w:b/>
          <w:bCs/>
          <w:i w:val="0"/>
          <w:iCs w:val="0"/>
          <w:color w:val="0D0D0D" w:themeColor="text1" w:themeTint="F2"/>
          <w:sz w:val="20"/>
          <w:szCs w:val="20"/>
        </w:rPr>
        <w:fldChar w:fldCharType="begin"/>
      </w:r>
      <w:r w:rsidRPr="004064D4">
        <w:rPr>
          <w:rFonts w:ascii="Arial Narrow" w:hAnsi="Arial Narrow"/>
          <w:b/>
          <w:bCs/>
          <w:i w:val="0"/>
          <w:iCs w:val="0"/>
          <w:color w:val="0D0D0D" w:themeColor="text1" w:themeTint="F2"/>
          <w:sz w:val="20"/>
          <w:szCs w:val="20"/>
        </w:rPr>
        <w:instrText xml:space="preserve"> SEQ Tabla \* ARABIC </w:instrText>
      </w:r>
      <w:r w:rsidRPr="004064D4">
        <w:rPr>
          <w:rFonts w:ascii="Arial Narrow" w:hAnsi="Arial Narrow"/>
          <w:b/>
          <w:bCs/>
          <w:i w:val="0"/>
          <w:iCs w:val="0"/>
          <w:color w:val="0D0D0D" w:themeColor="text1" w:themeTint="F2"/>
          <w:sz w:val="20"/>
          <w:szCs w:val="20"/>
        </w:rPr>
        <w:fldChar w:fldCharType="separate"/>
      </w:r>
      <w:r>
        <w:rPr>
          <w:rFonts w:ascii="Arial Narrow" w:hAnsi="Arial Narrow"/>
          <w:b/>
          <w:bCs/>
          <w:i w:val="0"/>
          <w:iCs w:val="0"/>
          <w:noProof/>
          <w:color w:val="0D0D0D" w:themeColor="text1" w:themeTint="F2"/>
          <w:sz w:val="20"/>
          <w:szCs w:val="20"/>
        </w:rPr>
        <w:t>10</w:t>
      </w:r>
      <w:r w:rsidRPr="004064D4">
        <w:rPr>
          <w:rFonts w:ascii="Arial Narrow" w:hAnsi="Arial Narrow"/>
          <w:b/>
          <w:bCs/>
          <w:i w:val="0"/>
          <w:iCs w:val="0"/>
          <w:color w:val="0D0D0D" w:themeColor="text1" w:themeTint="F2"/>
          <w:sz w:val="20"/>
          <w:szCs w:val="20"/>
        </w:rPr>
        <w:fldChar w:fldCharType="end"/>
      </w:r>
      <w:r>
        <w:rPr>
          <w:rFonts w:ascii="Arial Narrow" w:hAnsi="Arial Narrow"/>
          <w:i w:val="0"/>
          <w:iCs w:val="0"/>
          <w:color w:val="0D0D0D" w:themeColor="text1" w:themeTint="F2"/>
          <w:sz w:val="20"/>
          <w:szCs w:val="20"/>
        </w:rPr>
        <w:t xml:space="preserve">. </w:t>
      </w:r>
      <w:r w:rsidRPr="0068714E">
        <w:rPr>
          <w:rFonts w:ascii="Arial Narrow" w:hAnsi="Arial Narrow"/>
          <w:i w:val="0"/>
          <w:iCs w:val="0"/>
          <w:color w:val="0D0D0D" w:themeColor="text1" w:themeTint="F2"/>
          <w:sz w:val="20"/>
          <w:szCs w:val="20"/>
        </w:rPr>
        <w:t xml:space="preserve">Frecuencia y porcentaje de </w:t>
      </w:r>
      <w:r>
        <w:rPr>
          <w:rFonts w:ascii="Arial Narrow" w:hAnsi="Arial Narrow"/>
          <w:i w:val="0"/>
          <w:iCs w:val="0"/>
          <w:color w:val="0D0D0D" w:themeColor="text1" w:themeTint="F2"/>
          <w:sz w:val="20"/>
          <w:szCs w:val="20"/>
        </w:rPr>
        <w:t>respuestas</w:t>
      </w:r>
      <w:r w:rsidRPr="0068714E">
        <w:rPr>
          <w:rFonts w:ascii="Arial Narrow" w:hAnsi="Arial Narrow"/>
          <w:i w:val="0"/>
          <w:iCs w:val="0"/>
          <w:color w:val="0D0D0D" w:themeColor="text1" w:themeTint="F2"/>
          <w:sz w:val="20"/>
          <w:szCs w:val="20"/>
        </w:rPr>
        <w:t xml:space="preserve"> en la pregunta</w:t>
      </w:r>
      <w:r>
        <w:rPr>
          <w:rFonts w:ascii="Arial Narrow" w:hAnsi="Arial Narrow"/>
          <w:i w:val="0"/>
          <w:iCs w:val="0"/>
          <w:color w:val="0D0D0D" w:themeColor="text1" w:themeTint="F2"/>
          <w:sz w:val="20"/>
          <w:szCs w:val="20"/>
        </w:rPr>
        <w:t xml:space="preserve"> 10</w:t>
      </w:r>
      <w:r w:rsidRPr="0068714E">
        <w:rPr>
          <w:rFonts w:ascii="Arial Narrow" w:hAnsi="Arial Narrow"/>
          <w:i w:val="0"/>
          <w:iCs w:val="0"/>
          <w:color w:val="0D0D0D" w:themeColor="text1" w:themeTint="F2"/>
          <w:sz w:val="20"/>
          <w:szCs w:val="20"/>
        </w:rPr>
        <w:t xml:space="preserve"> de la evaluación.</w:t>
      </w:r>
    </w:p>
    <w:tbl>
      <w:tblPr>
        <w:tblW w:w="6238" w:type="dxa"/>
        <w:jc w:val="center"/>
        <w:tblCellMar>
          <w:left w:w="70" w:type="dxa"/>
          <w:right w:w="70" w:type="dxa"/>
        </w:tblCellMar>
        <w:tblLook w:val="04A0" w:firstRow="1" w:lastRow="0" w:firstColumn="1" w:lastColumn="0" w:noHBand="0" w:noVBand="1"/>
      </w:tblPr>
      <w:tblGrid>
        <w:gridCol w:w="1004"/>
        <w:gridCol w:w="1215"/>
        <w:gridCol w:w="15"/>
        <w:gridCol w:w="1341"/>
        <w:gridCol w:w="1230"/>
        <w:gridCol w:w="1433"/>
      </w:tblGrid>
      <w:tr w:rsidR="005D596E" w14:paraId="0C44B7D4" w14:textId="77777777" w:rsidTr="00C76A68">
        <w:trPr>
          <w:trHeight w:val="227"/>
          <w:jc w:val="center"/>
        </w:trPr>
        <w:tc>
          <w:tcPr>
            <w:tcW w:w="1004" w:type="dxa"/>
            <w:vMerge w:val="restart"/>
            <w:tcBorders>
              <w:top w:val="single" w:sz="4" w:space="0" w:color="auto"/>
            </w:tcBorders>
            <w:shd w:val="clear" w:color="auto" w:fill="auto"/>
            <w:noWrap/>
            <w:vAlign w:val="center"/>
            <w:hideMark/>
          </w:tcPr>
          <w:p w14:paraId="78185F07" w14:textId="77777777" w:rsidR="005D596E" w:rsidRPr="00FE69AA" w:rsidRDefault="005D596E" w:rsidP="00C76A68">
            <w:pPr>
              <w:spacing w:after="0" w:line="240" w:lineRule="auto"/>
              <w:jc w:val="center"/>
              <w:rPr>
                <w:rFonts w:ascii="Arial Narrow" w:eastAsia="Times New Roman" w:hAnsi="Arial Narrow" w:cs="Times New Roman"/>
                <w:b/>
                <w:bCs/>
                <w:color w:val="000000"/>
                <w:sz w:val="20"/>
                <w:szCs w:val="18"/>
                <w:lang w:val="es-ES" w:eastAsia="es-ES"/>
              </w:rPr>
            </w:pPr>
            <w:r w:rsidRPr="00FE69AA">
              <w:rPr>
                <w:rFonts w:ascii="Arial Narrow" w:eastAsia="Times New Roman" w:hAnsi="Arial Narrow" w:cs="Times New Roman"/>
                <w:b/>
                <w:bCs/>
                <w:color w:val="000000"/>
                <w:sz w:val="20"/>
                <w:szCs w:val="18"/>
              </w:rPr>
              <w:t>Variables</w:t>
            </w:r>
          </w:p>
        </w:tc>
        <w:tc>
          <w:tcPr>
            <w:tcW w:w="2571" w:type="dxa"/>
            <w:gridSpan w:val="3"/>
            <w:tcBorders>
              <w:top w:val="single" w:sz="4" w:space="0" w:color="auto"/>
              <w:bottom w:val="single" w:sz="4" w:space="0" w:color="auto"/>
            </w:tcBorders>
            <w:shd w:val="clear" w:color="auto" w:fill="auto"/>
            <w:noWrap/>
            <w:vAlign w:val="center"/>
            <w:hideMark/>
          </w:tcPr>
          <w:p w14:paraId="5A027D29" w14:textId="77777777" w:rsidR="005D596E" w:rsidRPr="00FE69AA" w:rsidRDefault="005D596E" w:rsidP="00C76A68">
            <w:pPr>
              <w:spacing w:after="0" w:line="240" w:lineRule="auto"/>
              <w:jc w:val="center"/>
              <w:rPr>
                <w:rFonts w:ascii="Arial Narrow" w:eastAsia="Times New Roman" w:hAnsi="Arial Narrow" w:cs="Times New Roman"/>
                <w:b/>
                <w:bCs/>
                <w:color w:val="000000"/>
                <w:sz w:val="20"/>
                <w:szCs w:val="18"/>
              </w:rPr>
            </w:pPr>
            <w:r w:rsidRPr="00FE69AA">
              <w:rPr>
                <w:rFonts w:ascii="Arial Narrow" w:eastAsia="Times New Roman" w:hAnsi="Arial Narrow" w:cs="Times New Roman"/>
                <w:b/>
                <w:bCs/>
                <w:color w:val="000000"/>
                <w:sz w:val="20"/>
                <w:szCs w:val="18"/>
              </w:rPr>
              <w:t>Frecuencia</w:t>
            </w:r>
          </w:p>
        </w:tc>
        <w:tc>
          <w:tcPr>
            <w:tcW w:w="2663" w:type="dxa"/>
            <w:gridSpan w:val="2"/>
            <w:tcBorders>
              <w:top w:val="single" w:sz="4" w:space="0" w:color="auto"/>
              <w:bottom w:val="single" w:sz="4" w:space="0" w:color="auto"/>
            </w:tcBorders>
            <w:shd w:val="clear" w:color="auto" w:fill="auto"/>
            <w:noWrap/>
            <w:vAlign w:val="center"/>
            <w:hideMark/>
          </w:tcPr>
          <w:p w14:paraId="2C888435" w14:textId="77777777" w:rsidR="005D596E" w:rsidRPr="00FE69AA" w:rsidRDefault="005D596E" w:rsidP="00C76A68">
            <w:pPr>
              <w:spacing w:after="0" w:line="240" w:lineRule="auto"/>
              <w:jc w:val="center"/>
              <w:rPr>
                <w:rFonts w:ascii="Arial Narrow" w:eastAsia="Times New Roman" w:hAnsi="Arial Narrow" w:cs="Times New Roman"/>
                <w:b/>
                <w:bCs/>
                <w:color w:val="000000"/>
                <w:sz w:val="20"/>
                <w:szCs w:val="18"/>
              </w:rPr>
            </w:pPr>
            <w:r w:rsidRPr="00FE69AA">
              <w:rPr>
                <w:rFonts w:ascii="Arial Narrow" w:eastAsia="Times New Roman" w:hAnsi="Arial Narrow" w:cs="Times New Roman"/>
                <w:b/>
                <w:bCs/>
                <w:color w:val="000000"/>
                <w:sz w:val="20"/>
                <w:szCs w:val="18"/>
              </w:rPr>
              <w:t>Porcentaje</w:t>
            </w:r>
          </w:p>
        </w:tc>
      </w:tr>
      <w:tr w:rsidR="005D596E" w14:paraId="6CAECCA5" w14:textId="77777777" w:rsidTr="00C76A68">
        <w:trPr>
          <w:trHeight w:val="227"/>
          <w:jc w:val="center"/>
        </w:trPr>
        <w:tc>
          <w:tcPr>
            <w:tcW w:w="1004" w:type="dxa"/>
            <w:vMerge/>
            <w:tcBorders>
              <w:bottom w:val="single" w:sz="4" w:space="0" w:color="auto"/>
            </w:tcBorders>
            <w:shd w:val="clear" w:color="auto" w:fill="auto"/>
            <w:noWrap/>
            <w:vAlign w:val="center"/>
          </w:tcPr>
          <w:p w14:paraId="434CF9EF" w14:textId="77777777" w:rsidR="005D596E" w:rsidRPr="00FE69AA" w:rsidRDefault="005D596E" w:rsidP="00C76A68">
            <w:pPr>
              <w:spacing w:after="0" w:line="240" w:lineRule="auto"/>
              <w:jc w:val="center"/>
              <w:rPr>
                <w:rFonts w:ascii="Arial Narrow" w:eastAsia="Times New Roman" w:hAnsi="Arial Narrow" w:cs="Times New Roman"/>
                <w:b/>
                <w:bCs/>
                <w:color w:val="000000"/>
                <w:sz w:val="20"/>
                <w:szCs w:val="18"/>
              </w:rPr>
            </w:pPr>
          </w:p>
        </w:tc>
        <w:tc>
          <w:tcPr>
            <w:tcW w:w="1215" w:type="dxa"/>
            <w:tcBorders>
              <w:top w:val="single" w:sz="4" w:space="0" w:color="auto"/>
              <w:bottom w:val="single" w:sz="4" w:space="0" w:color="auto"/>
            </w:tcBorders>
            <w:shd w:val="clear" w:color="auto" w:fill="auto"/>
            <w:noWrap/>
            <w:vAlign w:val="center"/>
          </w:tcPr>
          <w:p w14:paraId="7B1D2F52" w14:textId="77777777" w:rsidR="005D596E" w:rsidRPr="00FE69AA" w:rsidRDefault="005D596E" w:rsidP="00C76A68">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M. Ambiente</w:t>
            </w:r>
          </w:p>
        </w:tc>
        <w:tc>
          <w:tcPr>
            <w:tcW w:w="1356" w:type="dxa"/>
            <w:gridSpan w:val="2"/>
            <w:tcBorders>
              <w:top w:val="single" w:sz="4" w:space="0" w:color="auto"/>
              <w:bottom w:val="single" w:sz="4" w:space="0" w:color="auto"/>
            </w:tcBorders>
            <w:shd w:val="clear" w:color="auto" w:fill="auto"/>
            <w:vAlign w:val="center"/>
          </w:tcPr>
          <w:p w14:paraId="29AD5367" w14:textId="77777777" w:rsidR="005D596E" w:rsidRPr="00FE69AA" w:rsidRDefault="005D596E" w:rsidP="00C76A68">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Agroindustrias</w:t>
            </w:r>
          </w:p>
        </w:tc>
        <w:tc>
          <w:tcPr>
            <w:tcW w:w="1230" w:type="dxa"/>
            <w:tcBorders>
              <w:top w:val="single" w:sz="4" w:space="0" w:color="auto"/>
              <w:bottom w:val="single" w:sz="4" w:space="0" w:color="auto"/>
            </w:tcBorders>
            <w:shd w:val="clear" w:color="auto" w:fill="auto"/>
            <w:noWrap/>
            <w:vAlign w:val="center"/>
          </w:tcPr>
          <w:p w14:paraId="79655E92" w14:textId="77777777" w:rsidR="005D596E" w:rsidRPr="00FE69AA" w:rsidRDefault="005D596E" w:rsidP="00C76A68">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M. Ambiente</w:t>
            </w:r>
          </w:p>
        </w:tc>
        <w:tc>
          <w:tcPr>
            <w:tcW w:w="1433" w:type="dxa"/>
            <w:tcBorders>
              <w:top w:val="single" w:sz="4" w:space="0" w:color="auto"/>
              <w:bottom w:val="single" w:sz="4" w:space="0" w:color="auto"/>
            </w:tcBorders>
            <w:shd w:val="clear" w:color="auto" w:fill="auto"/>
            <w:vAlign w:val="center"/>
          </w:tcPr>
          <w:p w14:paraId="40EA042B" w14:textId="77777777" w:rsidR="005D596E" w:rsidRPr="00FE69AA" w:rsidRDefault="005D596E" w:rsidP="00C76A68">
            <w:pPr>
              <w:spacing w:after="0" w:line="240" w:lineRule="auto"/>
              <w:jc w:val="center"/>
              <w:rPr>
                <w:rFonts w:ascii="Arial Narrow" w:eastAsia="Times New Roman" w:hAnsi="Arial Narrow" w:cs="Times New Roman"/>
                <w:b/>
                <w:bCs/>
                <w:color w:val="000000"/>
                <w:sz w:val="20"/>
                <w:szCs w:val="18"/>
              </w:rPr>
            </w:pPr>
            <w:r>
              <w:rPr>
                <w:rFonts w:ascii="Arial Narrow" w:eastAsia="Times New Roman" w:hAnsi="Arial Narrow" w:cs="Times New Roman"/>
                <w:b/>
                <w:bCs/>
                <w:color w:val="000000"/>
                <w:sz w:val="20"/>
                <w:szCs w:val="18"/>
              </w:rPr>
              <w:t>Agroindustrias</w:t>
            </w:r>
          </w:p>
        </w:tc>
      </w:tr>
      <w:tr w:rsidR="005D596E" w14:paraId="704764B0" w14:textId="77777777" w:rsidTr="00CC0C8F">
        <w:trPr>
          <w:trHeight w:val="227"/>
          <w:jc w:val="center"/>
        </w:trPr>
        <w:tc>
          <w:tcPr>
            <w:tcW w:w="1004" w:type="dxa"/>
            <w:tcBorders>
              <w:top w:val="single" w:sz="4" w:space="0" w:color="auto"/>
            </w:tcBorders>
            <w:shd w:val="clear" w:color="auto" w:fill="auto"/>
            <w:noWrap/>
            <w:vAlign w:val="bottom"/>
            <w:hideMark/>
          </w:tcPr>
          <w:p w14:paraId="08EDCCC8" w14:textId="0474BA37" w:rsidR="005D596E" w:rsidRDefault="005D596E" w:rsidP="005D596E">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Correcto</w:t>
            </w:r>
          </w:p>
        </w:tc>
        <w:tc>
          <w:tcPr>
            <w:tcW w:w="1230" w:type="dxa"/>
            <w:gridSpan w:val="2"/>
            <w:tcBorders>
              <w:top w:val="single" w:sz="4" w:space="0" w:color="auto"/>
            </w:tcBorders>
            <w:shd w:val="clear" w:color="auto" w:fill="auto"/>
            <w:noWrap/>
            <w:hideMark/>
          </w:tcPr>
          <w:p w14:paraId="25D5CB6E" w14:textId="61EEEA25" w:rsidR="005D596E" w:rsidRDefault="005D596E" w:rsidP="005D596E">
            <w:pPr>
              <w:spacing w:after="0" w:line="240" w:lineRule="auto"/>
              <w:jc w:val="center"/>
              <w:rPr>
                <w:rFonts w:ascii="Arial Narrow" w:eastAsia="Times New Roman" w:hAnsi="Arial Narrow" w:cs="Times New Roman"/>
                <w:color w:val="000000"/>
                <w:sz w:val="20"/>
                <w:szCs w:val="18"/>
              </w:rPr>
            </w:pPr>
            <w:r w:rsidRPr="005D596E">
              <w:rPr>
                <w:rFonts w:ascii="Arial Narrow" w:eastAsia="Times New Roman" w:hAnsi="Arial Narrow" w:cs="Times New Roman"/>
                <w:color w:val="000000"/>
                <w:sz w:val="20"/>
                <w:szCs w:val="18"/>
              </w:rPr>
              <w:t>19</w:t>
            </w:r>
          </w:p>
        </w:tc>
        <w:tc>
          <w:tcPr>
            <w:tcW w:w="1341" w:type="dxa"/>
            <w:tcBorders>
              <w:top w:val="single" w:sz="4" w:space="0" w:color="auto"/>
            </w:tcBorders>
            <w:shd w:val="clear" w:color="auto" w:fill="auto"/>
            <w:noWrap/>
            <w:hideMark/>
          </w:tcPr>
          <w:p w14:paraId="15EA0C56" w14:textId="0AE7F224" w:rsidR="005D596E" w:rsidRDefault="005D596E" w:rsidP="005D596E">
            <w:pPr>
              <w:spacing w:after="0" w:line="240" w:lineRule="auto"/>
              <w:jc w:val="center"/>
              <w:rPr>
                <w:rFonts w:ascii="Arial Narrow" w:eastAsia="Times New Roman" w:hAnsi="Arial Narrow" w:cs="Times New Roman"/>
                <w:color w:val="000000"/>
                <w:sz w:val="20"/>
                <w:szCs w:val="18"/>
              </w:rPr>
            </w:pPr>
            <w:r w:rsidRPr="005D596E">
              <w:rPr>
                <w:rFonts w:ascii="Arial Narrow" w:eastAsia="Times New Roman" w:hAnsi="Arial Narrow" w:cs="Times New Roman"/>
                <w:color w:val="000000"/>
                <w:sz w:val="20"/>
                <w:szCs w:val="18"/>
              </w:rPr>
              <w:t>21</w:t>
            </w:r>
          </w:p>
        </w:tc>
        <w:tc>
          <w:tcPr>
            <w:tcW w:w="1230" w:type="dxa"/>
            <w:tcBorders>
              <w:top w:val="single" w:sz="4" w:space="0" w:color="auto"/>
            </w:tcBorders>
            <w:shd w:val="clear" w:color="auto" w:fill="auto"/>
            <w:noWrap/>
            <w:hideMark/>
          </w:tcPr>
          <w:p w14:paraId="4EE7FCC2" w14:textId="638ED699" w:rsidR="005D596E" w:rsidRDefault="005D596E" w:rsidP="005D596E">
            <w:pPr>
              <w:spacing w:after="0" w:line="240" w:lineRule="auto"/>
              <w:jc w:val="center"/>
              <w:rPr>
                <w:rFonts w:ascii="Arial Narrow" w:eastAsia="Times New Roman" w:hAnsi="Arial Narrow" w:cs="Times New Roman"/>
                <w:color w:val="000000"/>
                <w:sz w:val="20"/>
                <w:szCs w:val="18"/>
              </w:rPr>
            </w:pPr>
            <w:r w:rsidRPr="005D596E">
              <w:rPr>
                <w:rFonts w:ascii="Arial Narrow" w:eastAsia="Times New Roman" w:hAnsi="Arial Narrow" w:cs="Times New Roman"/>
                <w:color w:val="000000"/>
                <w:sz w:val="20"/>
                <w:szCs w:val="18"/>
              </w:rPr>
              <w:t>86</w:t>
            </w:r>
            <w:r>
              <w:rPr>
                <w:rFonts w:ascii="Arial Narrow" w:eastAsia="Times New Roman" w:hAnsi="Arial Narrow" w:cs="Times New Roman"/>
                <w:color w:val="000000"/>
                <w:sz w:val="20"/>
                <w:szCs w:val="18"/>
              </w:rPr>
              <w:t>.</w:t>
            </w:r>
            <w:r w:rsidRPr="005D596E">
              <w:rPr>
                <w:rFonts w:ascii="Arial Narrow" w:eastAsia="Times New Roman" w:hAnsi="Arial Narrow" w:cs="Times New Roman"/>
                <w:color w:val="000000"/>
                <w:sz w:val="20"/>
                <w:szCs w:val="18"/>
              </w:rPr>
              <w:t>36</w:t>
            </w:r>
          </w:p>
        </w:tc>
        <w:tc>
          <w:tcPr>
            <w:tcW w:w="1433" w:type="dxa"/>
            <w:tcBorders>
              <w:top w:val="single" w:sz="4" w:space="0" w:color="auto"/>
            </w:tcBorders>
            <w:shd w:val="clear" w:color="auto" w:fill="auto"/>
            <w:noWrap/>
            <w:hideMark/>
          </w:tcPr>
          <w:p w14:paraId="34D87D30" w14:textId="3D32FD88" w:rsidR="005D596E" w:rsidRDefault="005D596E" w:rsidP="005D596E">
            <w:pPr>
              <w:spacing w:after="0" w:line="240" w:lineRule="auto"/>
              <w:jc w:val="center"/>
              <w:rPr>
                <w:rFonts w:ascii="Arial Narrow" w:eastAsia="Times New Roman" w:hAnsi="Arial Narrow" w:cs="Times New Roman"/>
                <w:color w:val="000000"/>
                <w:sz w:val="20"/>
                <w:szCs w:val="18"/>
              </w:rPr>
            </w:pPr>
            <w:r w:rsidRPr="005D596E">
              <w:rPr>
                <w:rFonts w:ascii="Arial Narrow" w:eastAsia="Times New Roman" w:hAnsi="Arial Narrow" w:cs="Times New Roman"/>
                <w:color w:val="000000"/>
                <w:sz w:val="20"/>
                <w:szCs w:val="18"/>
              </w:rPr>
              <w:t>95</w:t>
            </w:r>
            <w:r>
              <w:rPr>
                <w:rFonts w:ascii="Arial Narrow" w:eastAsia="Times New Roman" w:hAnsi="Arial Narrow" w:cs="Times New Roman"/>
                <w:color w:val="000000"/>
                <w:sz w:val="20"/>
                <w:szCs w:val="18"/>
              </w:rPr>
              <w:t>.</w:t>
            </w:r>
            <w:r w:rsidRPr="005D596E">
              <w:rPr>
                <w:rFonts w:ascii="Arial Narrow" w:eastAsia="Times New Roman" w:hAnsi="Arial Narrow" w:cs="Times New Roman"/>
                <w:color w:val="000000"/>
                <w:sz w:val="20"/>
                <w:szCs w:val="18"/>
              </w:rPr>
              <w:t>45</w:t>
            </w:r>
          </w:p>
        </w:tc>
      </w:tr>
      <w:tr w:rsidR="005D596E" w14:paraId="3DDBF1FE" w14:textId="77777777" w:rsidTr="00CC0C8F">
        <w:trPr>
          <w:trHeight w:val="227"/>
          <w:jc w:val="center"/>
        </w:trPr>
        <w:tc>
          <w:tcPr>
            <w:tcW w:w="1004" w:type="dxa"/>
            <w:shd w:val="clear" w:color="auto" w:fill="auto"/>
            <w:noWrap/>
            <w:vAlign w:val="bottom"/>
            <w:hideMark/>
          </w:tcPr>
          <w:p w14:paraId="7DEEB45C" w14:textId="7D6C7891" w:rsidR="005D596E" w:rsidRDefault="005D596E" w:rsidP="005D596E">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Incorrecto</w:t>
            </w:r>
          </w:p>
        </w:tc>
        <w:tc>
          <w:tcPr>
            <w:tcW w:w="1230" w:type="dxa"/>
            <w:gridSpan w:val="2"/>
            <w:shd w:val="clear" w:color="auto" w:fill="auto"/>
            <w:noWrap/>
            <w:hideMark/>
          </w:tcPr>
          <w:p w14:paraId="498A3A83" w14:textId="4A7A3BC5" w:rsidR="005D596E" w:rsidRDefault="005D596E" w:rsidP="005D596E">
            <w:pPr>
              <w:spacing w:after="0" w:line="240" w:lineRule="auto"/>
              <w:jc w:val="center"/>
              <w:rPr>
                <w:rFonts w:ascii="Arial Narrow" w:eastAsia="Times New Roman" w:hAnsi="Arial Narrow" w:cs="Times New Roman"/>
                <w:color w:val="000000"/>
                <w:sz w:val="20"/>
                <w:szCs w:val="18"/>
              </w:rPr>
            </w:pPr>
            <w:r w:rsidRPr="005D596E">
              <w:rPr>
                <w:rFonts w:ascii="Arial Narrow" w:eastAsia="Times New Roman" w:hAnsi="Arial Narrow" w:cs="Times New Roman"/>
                <w:color w:val="000000"/>
                <w:sz w:val="20"/>
                <w:szCs w:val="18"/>
              </w:rPr>
              <w:t>3</w:t>
            </w:r>
          </w:p>
        </w:tc>
        <w:tc>
          <w:tcPr>
            <w:tcW w:w="1341" w:type="dxa"/>
            <w:shd w:val="clear" w:color="auto" w:fill="auto"/>
            <w:noWrap/>
            <w:hideMark/>
          </w:tcPr>
          <w:p w14:paraId="56F38EA0" w14:textId="00C33637" w:rsidR="005D596E" w:rsidRDefault="005D596E" w:rsidP="005D596E">
            <w:pPr>
              <w:spacing w:after="0" w:line="240" w:lineRule="auto"/>
              <w:jc w:val="center"/>
              <w:rPr>
                <w:rFonts w:ascii="Arial Narrow" w:eastAsia="Times New Roman" w:hAnsi="Arial Narrow" w:cs="Times New Roman"/>
                <w:color w:val="000000"/>
                <w:sz w:val="20"/>
                <w:szCs w:val="18"/>
              </w:rPr>
            </w:pPr>
            <w:r w:rsidRPr="005D596E">
              <w:rPr>
                <w:rFonts w:ascii="Arial Narrow" w:eastAsia="Times New Roman" w:hAnsi="Arial Narrow" w:cs="Times New Roman"/>
                <w:color w:val="000000"/>
                <w:sz w:val="20"/>
                <w:szCs w:val="18"/>
              </w:rPr>
              <w:t>1</w:t>
            </w:r>
          </w:p>
        </w:tc>
        <w:tc>
          <w:tcPr>
            <w:tcW w:w="1230" w:type="dxa"/>
            <w:shd w:val="clear" w:color="auto" w:fill="auto"/>
            <w:noWrap/>
            <w:hideMark/>
          </w:tcPr>
          <w:p w14:paraId="58B38490" w14:textId="12D54EDD" w:rsidR="005D596E" w:rsidRDefault="005D596E" w:rsidP="005D596E">
            <w:pPr>
              <w:spacing w:after="0" w:line="240" w:lineRule="auto"/>
              <w:jc w:val="center"/>
              <w:rPr>
                <w:rFonts w:ascii="Arial Narrow" w:eastAsia="Times New Roman" w:hAnsi="Arial Narrow" w:cs="Times New Roman"/>
                <w:color w:val="000000"/>
                <w:sz w:val="20"/>
                <w:szCs w:val="18"/>
              </w:rPr>
            </w:pPr>
            <w:r w:rsidRPr="005D596E">
              <w:rPr>
                <w:rFonts w:ascii="Arial Narrow" w:eastAsia="Times New Roman" w:hAnsi="Arial Narrow" w:cs="Times New Roman"/>
                <w:color w:val="000000"/>
                <w:sz w:val="20"/>
                <w:szCs w:val="18"/>
              </w:rPr>
              <w:t>13</w:t>
            </w:r>
            <w:r>
              <w:rPr>
                <w:rFonts w:ascii="Arial Narrow" w:eastAsia="Times New Roman" w:hAnsi="Arial Narrow" w:cs="Times New Roman"/>
                <w:color w:val="000000"/>
                <w:sz w:val="20"/>
                <w:szCs w:val="18"/>
              </w:rPr>
              <w:t>.</w:t>
            </w:r>
            <w:r w:rsidRPr="005D596E">
              <w:rPr>
                <w:rFonts w:ascii="Arial Narrow" w:eastAsia="Times New Roman" w:hAnsi="Arial Narrow" w:cs="Times New Roman"/>
                <w:color w:val="000000"/>
                <w:sz w:val="20"/>
                <w:szCs w:val="18"/>
              </w:rPr>
              <w:t>64</w:t>
            </w:r>
          </w:p>
        </w:tc>
        <w:tc>
          <w:tcPr>
            <w:tcW w:w="1433" w:type="dxa"/>
            <w:shd w:val="clear" w:color="auto" w:fill="auto"/>
            <w:noWrap/>
            <w:hideMark/>
          </w:tcPr>
          <w:p w14:paraId="79F16C7D" w14:textId="57B6EDD6" w:rsidR="005D596E" w:rsidRDefault="005D596E" w:rsidP="005D596E">
            <w:pPr>
              <w:spacing w:after="0" w:line="240" w:lineRule="auto"/>
              <w:jc w:val="center"/>
              <w:rPr>
                <w:rFonts w:ascii="Arial Narrow" w:eastAsia="Times New Roman" w:hAnsi="Arial Narrow" w:cs="Times New Roman"/>
                <w:color w:val="000000"/>
                <w:sz w:val="20"/>
                <w:szCs w:val="18"/>
              </w:rPr>
            </w:pPr>
            <w:r w:rsidRPr="005D596E">
              <w:rPr>
                <w:rFonts w:ascii="Arial Narrow" w:eastAsia="Times New Roman" w:hAnsi="Arial Narrow" w:cs="Times New Roman"/>
                <w:color w:val="000000"/>
                <w:sz w:val="20"/>
                <w:szCs w:val="18"/>
              </w:rPr>
              <w:t>4</w:t>
            </w:r>
            <w:r>
              <w:rPr>
                <w:rFonts w:ascii="Arial Narrow" w:eastAsia="Times New Roman" w:hAnsi="Arial Narrow" w:cs="Times New Roman"/>
                <w:color w:val="000000"/>
                <w:sz w:val="20"/>
                <w:szCs w:val="18"/>
              </w:rPr>
              <w:t>.</w:t>
            </w:r>
            <w:r w:rsidRPr="005D596E">
              <w:rPr>
                <w:rFonts w:ascii="Arial Narrow" w:eastAsia="Times New Roman" w:hAnsi="Arial Narrow" w:cs="Times New Roman"/>
                <w:color w:val="000000"/>
                <w:sz w:val="20"/>
                <w:szCs w:val="18"/>
              </w:rPr>
              <w:t>55</w:t>
            </w:r>
          </w:p>
        </w:tc>
      </w:tr>
      <w:tr w:rsidR="005D596E" w14:paraId="20FA7AFF" w14:textId="77777777" w:rsidTr="00C76A68">
        <w:trPr>
          <w:trHeight w:val="227"/>
          <w:jc w:val="center"/>
        </w:trPr>
        <w:tc>
          <w:tcPr>
            <w:tcW w:w="1004" w:type="dxa"/>
            <w:tcBorders>
              <w:bottom w:val="single" w:sz="4" w:space="0" w:color="auto"/>
            </w:tcBorders>
            <w:shd w:val="clear" w:color="auto" w:fill="auto"/>
            <w:noWrap/>
            <w:vAlign w:val="bottom"/>
            <w:hideMark/>
          </w:tcPr>
          <w:p w14:paraId="39DF7D68" w14:textId="77777777" w:rsidR="005D596E" w:rsidRPr="003D772D" w:rsidRDefault="005D596E" w:rsidP="00C76A68">
            <w:pPr>
              <w:spacing w:after="0" w:line="240" w:lineRule="auto"/>
              <w:jc w:val="center"/>
              <w:rPr>
                <w:rFonts w:ascii="Arial Narrow" w:eastAsia="Times New Roman" w:hAnsi="Arial Narrow" w:cs="Times New Roman"/>
                <w:b/>
                <w:bCs/>
                <w:color w:val="000000"/>
                <w:sz w:val="20"/>
                <w:szCs w:val="18"/>
              </w:rPr>
            </w:pPr>
            <w:r w:rsidRPr="003D772D">
              <w:rPr>
                <w:rFonts w:ascii="Arial Narrow" w:eastAsia="Times New Roman" w:hAnsi="Arial Narrow" w:cs="Times New Roman"/>
                <w:b/>
                <w:bCs/>
                <w:color w:val="000000"/>
                <w:sz w:val="20"/>
                <w:szCs w:val="18"/>
              </w:rPr>
              <w:t>Total</w:t>
            </w:r>
          </w:p>
        </w:tc>
        <w:tc>
          <w:tcPr>
            <w:tcW w:w="1230" w:type="dxa"/>
            <w:gridSpan w:val="2"/>
            <w:tcBorders>
              <w:bottom w:val="single" w:sz="4" w:space="0" w:color="auto"/>
            </w:tcBorders>
            <w:shd w:val="clear" w:color="auto" w:fill="auto"/>
            <w:noWrap/>
            <w:vAlign w:val="bottom"/>
            <w:hideMark/>
          </w:tcPr>
          <w:p w14:paraId="4DDADA58" w14:textId="77777777" w:rsidR="005D596E" w:rsidRDefault="005D596E" w:rsidP="00C76A68">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22</w:t>
            </w:r>
          </w:p>
        </w:tc>
        <w:tc>
          <w:tcPr>
            <w:tcW w:w="1341" w:type="dxa"/>
            <w:tcBorders>
              <w:bottom w:val="single" w:sz="4" w:space="0" w:color="auto"/>
            </w:tcBorders>
            <w:shd w:val="clear" w:color="auto" w:fill="auto"/>
            <w:noWrap/>
            <w:vAlign w:val="bottom"/>
            <w:hideMark/>
          </w:tcPr>
          <w:p w14:paraId="5FF73A75" w14:textId="77777777" w:rsidR="005D596E" w:rsidRDefault="005D596E" w:rsidP="00C76A68">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22</w:t>
            </w:r>
          </w:p>
        </w:tc>
        <w:tc>
          <w:tcPr>
            <w:tcW w:w="1230" w:type="dxa"/>
            <w:tcBorders>
              <w:bottom w:val="single" w:sz="4" w:space="0" w:color="auto"/>
            </w:tcBorders>
            <w:shd w:val="clear" w:color="auto" w:fill="auto"/>
            <w:noWrap/>
            <w:vAlign w:val="bottom"/>
            <w:hideMark/>
          </w:tcPr>
          <w:p w14:paraId="2A8A8833" w14:textId="77777777" w:rsidR="005D596E" w:rsidRDefault="005D596E" w:rsidP="00C76A68">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100.00</w:t>
            </w:r>
          </w:p>
        </w:tc>
        <w:tc>
          <w:tcPr>
            <w:tcW w:w="1433" w:type="dxa"/>
            <w:tcBorders>
              <w:bottom w:val="single" w:sz="4" w:space="0" w:color="auto"/>
            </w:tcBorders>
            <w:shd w:val="clear" w:color="auto" w:fill="auto"/>
            <w:noWrap/>
            <w:vAlign w:val="bottom"/>
            <w:hideMark/>
          </w:tcPr>
          <w:p w14:paraId="1F97E35F" w14:textId="77777777" w:rsidR="005D596E" w:rsidRDefault="005D596E" w:rsidP="00C76A68">
            <w:pPr>
              <w:spacing w:after="0" w:line="240" w:lineRule="auto"/>
              <w:jc w:val="center"/>
              <w:rPr>
                <w:rFonts w:ascii="Arial Narrow" w:eastAsia="Times New Roman" w:hAnsi="Arial Narrow" w:cs="Times New Roman"/>
                <w:color w:val="000000"/>
                <w:sz w:val="20"/>
                <w:szCs w:val="18"/>
              </w:rPr>
            </w:pPr>
            <w:r>
              <w:rPr>
                <w:rFonts w:ascii="Arial Narrow" w:eastAsia="Times New Roman" w:hAnsi="Arial Narrow" w:cs="Times New Roman"/>
                <w:color w:val="000000"/>
                <w:sz w:val="20"/>
                <w:szCs w:val="18"/>
              </w:rPr>
              <w:t>100.00</w:t>
            </w:r>
          </w:p>
        </w:tc>
      </w:tr>
    </w:tbl>
    <w:p w14:paraId="3D81F17B" w14:textId="77777777" w:rsidR="00391DCF" w:rsidRDefault="00391DCF" w:rsidP="00391DCF">
      <w:pPr>
        <w:keepNext/>
        <w:spacing w:before="240" w:after="0"/>
        <w:jc w:val="center"/>
      </w:pPr>
      <w:r>
        <w:rPr>
          <w:noProof/>
          <w:lang w:eastAsia="es-EC"/>
        </w:rPr>
        <w:drawing>
          <wp:inline distT="0" distB="0" distL="0" distR="0" wp14:anchorId="2055878E" wp14:editId="5724FC84">
            <wp:extent cx="2771775" cy="1800000"/>
            <wp:effectExtent l="0" t="0" r="9525" b="1016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19C2DE" w14:textId="0DC1E4EE" w:rsidR="00391DCF" w:rsidRDefault="00391DCF" w:rsidP="00391DCF">
      <w:pPr>
        <w:pStyle w:val="Descripcin"/>
        <w:jc w:val="center"/>
        <w:rPr>
          <w:rFonts w:ascii="Arial Narrow" w:hAnsi="Arial Narrow"/>
          <w:i w:val="0"/>
          <w:iCs w:val="0"/>
          <w:color w:val="0D0D0D" w:themeColor="text1" w:themeTint="F2"/>
          <w:sz w:val="20"/>
          <w:szCs w:val="20"/>
        </w:rPr>
      </w:pPr>
      <w:r w:rsidRPr="006A6746">
        <w:rPr>
          <w:rFonts w:ascii="Arial Narrow" w:hAnsi="Arial Narrow"/>
          <w:b/>
          <w:bCs/>
          <w:i w:val="0"/>
          <w:iCs w:val="0"/>
          <w:color w:val="0D0D0D" w:themeColor="text1" w:themeTint="F2"/>
          <w:sz w:val="20"/>
          <w:szCs w:val="20"/>
        </w:rPr>
        <w:t xml:space="preserve">Figura </w:t>
      </w:r>
      <w:r w:rsidRPr="006A6746">
        <w:rPr>
          <w:rFonts w:ascii="Arial Narrow" w:hAnsi="Arial Narrow"/>
          <w:b/>
          <w:bCs/>
          <w:i w:val="0"/>
          <w:iCs w:val="0"/>
          <w:color w:val="0D0D0D" w:themeColor="text1" w:themeTint="F2"/>
          <w:sz w:val="20"/>
          <w:szCs w:val="20"/>
        </w:rPr>
        <w:fldChar w:fldCharType="begin"/>
      </w:r>
      <w:r w:rsidRPr="006A6746">
        <w:rPr>
          <w:rFonts w:ascii="Arial Narrow" w:hAnsi="Arial Narrow"/>
          <w:b/>
          <w:bCs/>
          <w:i w:val="0"/>
          <w:iCs w:val="0"/>
          <w:color w:val="0D0D0D" w:themeColor="text1" w:themeTint="F2"/>
          <w:sz w:val="20"/>
          <w:szCs w:val="20"/>
        </w:rPr>
        <w:instrText xml:space="preserve"> SEQ Figura \* ARABIC </w:instrText>
      </w:r>
      <w:r w:rsidRPr="006A6746">
        <w:rPr>
          <w:rFonts w:ascii="Arial Narrow" w:hAnsi="Arial Narrow"/>
          <w:b/>
          <w:bCs/>
          <w:i w:val="0"/>
          <w:iCs w:val="0"/>
          <w:color w:val="0D0D0D" w:themeColor="text1" w:themeTint="F2"/>
          <w:sz w:val="20"/>
          <w:szCs w:val="20"/>
        </w:rPr>
        <w:fldChar w:fldCharType="separate"/>
      </w:r>
      <w:r w:rsidR="00C358E3">
        <w:rPr>
          <w:rFonts w:ascii="Arial Narrow" w:hAnsi="Arial Narrow"/>
          <w:b/>
          <w:bCs/>
          <w:i w:val="0"/>
          <w:iCs w:val="0"/>
          <w:noProof/>
          <w:color w:val="0D0D0D" w:themeColor="text1" w:themeTint="F2"/>
          <w:sz w:val="20"/>
          <w:szCs w:val="20"/>
        </w:rPr>
        <w:t>11</w:t>
      </w:r>
      <w:r w:rsidRPr="006A6746">
        <w:rPr>
          <w:rFonts w:ascii="Arial Narrow" w:hAnsi="Arial Narrow"/>
          <w:b/>
          <w:bCs/>
          <w:i w:val="0"/>
          <w:iCs w:val="0"/>
          <w:color w:val="0D0D0D" w:themeColor="text1" w:themeTint="F2"/>
          <w:sz w:val="20"/>
          <w:szCs w:val="20"/>
        </w:rPr>
        <w:fldChar w:fldCharType="end"/>
      </w:r>
      <w:r w:rsidRPr="006A6746">
        <w:rPr>
          <w:rFonts w:ascii="Arial Narrow" w:hAnsi="Arial Narrow"/>
          <w:b/>
          <w:bCs/>
          <w:i w:val="0"/>
          <w:iCs w:val="0"/>
          <w:color w:val="0D0D0D" w:themeColor="text1" w:themeTint="F2"/>
          <w:sz w:val="20"/>
          <w:szCs w:val="20"/>
        </w:rPr>
        <w:t>.</w:t>
      </w:r>
      <w:r w:rsidRPr="006A6746">
        <w:rPr>
          <w:rFonts w:ascii="Arial Narrow" w:hAnsi="Arial Narrow"/>
          <w:i w:val="0"/>
          <w:iCs w:val="0"/>
          <w:color w:val="0D0D0D" w:themeColor="text1" w:themeTint="F2"/>
          <w:sz w:val="20"/>
          <w:szCs w:val="20"/>
        </w:rPr>
        <w:t xml:space="preserve"> </w:t>
      </w:r>
      <w:r>
        <w:rPr>
          <w:rFonts w:ascii="Arial Narrow" w:hAnsi="Arial Narrow"/>
          <w:i w:val="0"/>
          <w:iCs w:val="0"/>
          <w:color w:val="0D0D0D" w:themeColor="text1" w:themeTint="F2"/>
          <w:sz w:val="20"/>
          <w:szCs w:val="20"/>
        </w:rPr>
        <w:t>P</w:t>
      </w:r>
      <w:r w:rsidRPr="0068714E">
        <w:rPr>
          <w:rFonts w:ascii="Arial Narrow" w:hAnsi="Arial Narrow"/>
          <w:i w:val="0"/>
          <w:iCs w:val="0"/>
          <w:color w:val="0D0D0D" w:themeColor="text1" w:themeTint="F2"/>
          <w:sz w:val="20"/>
          <w:szCs w:val="20"/>
        </w:rPr>
        <w:t xml:space="preserve">orcentaje de aciertos en la pregunta </w:t>
      </w:r>
      <w:r w:rsidR="00C358E3">
        <w:rPr>
          <w:rFonts w:ascii="Arial Narrow" w:hAnsi="Arial Narrow"/>
          <w:i w:val="0"/>
          <w:iCs w:val="0"/>
          <w:color w:val="0D0D0D" w:themeColor="text1" w:themeTint="F2"/>
          <w:sz w:val="20"/>
          <w:szCs w:val="20"/>
        </w:rPr>
        <w:t>10</w:t>
      </w:r>
      <w:r w:rsidRPr="0068714E">
        <w:rPr>
          <w:rFonts w:ascii="Arial Narrow" w:hAnsi="Arial Narrow"/>
          <w:i w:val="0"/>
          <w:iCs w:val="0"/>
          <w:color w:val="0D0D0D" w:themeColor="text1" w:themeTint="F2"/>
          <w:sz w:val="20"/>
          <w:szCs w:val="20"/>
        </w:rPr>
        <w:t xml:space="preserve"> de</w:t>
      </w:r>
      <w:r>
        <w:rPr>
          <w:rFonts w:ascii="Arial Narrow" w:hAnsi="Arial Narrow"/>
          <w:i w:val="0"/>
          <w:iCs w:val="0"/>
          <w:color w:val="0D0D0D" w:themeColor="text1" w:themeTint="F2"/>
          <w:sz w:val="20"/>
          <w:szCs w:val="20"/>
        </w:rPr>
        <w:t>l instrumento de</w:t>
      </w:r>
      <w:r w:rsidRPr="0068714E">
        <w:rPr>
          <w:rFonts w:ascii="Arial Narrow" w:hAnsi="Arial Narrow"/>
          <w:i w:val="0"/>
          <w:iCs w:val="0"/>
          <w:color w:val="0D0D0D" w:themeColor="text1" w:themeTint="F2"/>
          <w:sz w:val="20"/>
          <w:szCs w:val="20"/>
        </w:rPr>
        <w:t xml:space="preserve"> evaluación.</w:t>
      </w:r>
    </w:p>
    <w:p w14:paraId="2A602BDB" w14:textId="73C8144A" w:rsidR="008B472A" w:rsidRDefault="006B4F12" w:rsidP="00390C9F">
      <w:r>
        <w:lastRenderedPageBreak/>
        <w:t>L</w:t>
      </w:r>
      <w:r w:rsidR="004969D0">
        <w:t>a pregunta n</w:t>
      </w:r>
      <w:r>
        <w:t>ú</w:t>
      </w:r>
      <w:r w:rsidR="004969D0">
        <w:t xml:space="preserve">mero 10 fue de las más significativas, y los resultados refieren que el grupo de estudiantes de Agroindustrias, a quienes se </w:t>
      </w:r>
      <w:r w:rsidR="00390C9F">
        <w:t xml:space="preserve">les dio la explicación utilizando </w:t>
      </w:r>
      <w:proofErr w:type="spellStart"/>
      <w:r w:rsidR="00390C9F">
        <w:t>ChemLab</w:t>
      </w:r>
      <w:proofErr w:type="spellEnd"/>
      <w:r w:rsidR="00390C9F">
        <w:t>, obtuvo mejor porcentaje de aciertos (</w:t>
      </w:r>
      <w:r>
        <w:t>9</w:t>
      </w:r>
      <w:r w:rsidR="00390C9F">
        <w:t>5.45%), como se evidencia en la tabla 10 y la figura 11.</w:t>
      </w:r>
      <w:r w:rsidR="004969D0">
        <w:t xml:space="preserve"> </w:t>
      </w:r>
      <w:r w:rsidR="00EC7F03">
        <w:t>E</w:t>
      </w:r>
      <w:r w:rsidR="00297360">
        <w:t>l aprendizaje significativo se construye a partir de lo conocido más los conocimientos impartidos mediante procesos de cambios continuos en todos los niveles de formación, es decir que, con esto el estudiante deja de ser un mero receptor pasivo para convertirse en activo y motor de su propio aprendizaje</w:t>
      </w:r>
      <w:r w:rsidR="00EC7F03">
        <w:t xml:space="preserve"> (Daza et al., 2009)</w:t>
      </w:r>
      <w:r w:rsidR="00297360">
        <w:t xml:space="preserve">. </w:t>
      </w:r>
    </w:p>
    <w:p w14:paraId="306DE4DE" w14:textId="40F844CC" w:rsidR="00297360" w:rsidRDefault="00297360" w:rsidP="00390C9F">
      <w:r>
        <w:t>En virtud de lo estipulado anteriormente</w:t>
      </w:r>
      <w:r w:rsidR="00EC7F03">
        <w:t>,</w:t>
      </w:r>
      <w:r>
        <w:t xml:space="preserve"> se determinó un mayor conocimiento después de aplicar los métodos de aprendizaje en los estudiantes participantes tanto en el tradicional como el de la utilización de las nuevas tecnologías</w:t>
      </w:r>
      <w:r w:rsidR="0072453D">
        <w:t xml:space="preserve"> (</w:t>
      </w:r>
      <w:proofErr w:type="spellStart"/>
      <w:r w:rsidR="0072453D">
        <w:t>ChemLab</w:t>
      </w:r>
      <w:proofErr w:type="spellEnd"/>
      <w:r w:rsidR="0072453D">
        <w:t>)</w:t>
      </w:r>
      <w:r w:rsidR="00EC7F03">
        <w:t>, concordando con los hallazgos de Nais et al. (2019)</w:t>
      </w:r>
      <w:r>
        <w:t xml:space="preserve">. Sin </w:t>
      </w:r>
      <w:r w:rsidR="0072453D">
        <w:t>embargo,</w:t>
      </w:r>
      <w:r>
        <w:t xml:space="preserve"> los estudiantes de </w:t>
      </w:r>
      <w:r w:rsidR="0072453D">
        <w:t>A</w:t>
      </w:r>
      <w:r>
        <w:t>groindustria</w:t>
      </w:r>
      <w:r w:rsidR="0072453D">
        <w:t>s</w:t>
      </w:r>
      <w:r>
        <w:t xml:space="preserve"> obtuvieron un porcentaje de aprendizaje del 96</w:t>
      </w:r>
      <w:r w:rsidR="0072453D">
        <w:t>.</w:t>
      </w:r>
      <w:r>
        <w:t>36% comparado a los estudiantes de Medio Ambiente con un porcentaje de aprendizaje de 92</w:t>
      </w:r>
      <w:r w:rsidR="0072453D">
        <w:t>.</w:t>
      </w:r>
      <w:r>
        <w:t xml:space="preserve">73%; </w:t>
      </w:r>
      <w:r w:rsidR="0072453D">
        <w:t>deduciendo que</w:t>
      </w:r>
      <w:r>
        <w:t xml:space="preserve"> las nuevas tecnologías </w:t>
      </w:r>
      <w:r w:rsidR="0072453D">
        <w:t>contribuyen a</w:t>
      </w:r>
      <w:r w:rsidR="00AA7AAC">
        <w:t xml:space="preserve"> </w:t>
      </w:r>
      <w:r>
        <w:t>un aprendizaje significativo mayor.</w:t>
      </w:r>
    </w:p>
    <w:p w14:paraId="0F740EB8" w14:textId="72655CB1" w:rsidR="006B689B" w:rsidRDefault="006B689B" w:rsidP="00390C9F"/>
    <w:p w14:paraId="35A1E6D1" w14:textId="77777777" w:rsidR="006B689B" w:rsidRDefault="006B689B" w:rsidP="00390C9F"/>
    <w:p w14:paraId="45598BF0" w14:textId="7BF129E3" w:rsidR="008F1242" w:rsidRDefault="00BE5BB4" w:rsidP="00BE5BB4">
      <w:pPr>
        <w:jc w:val="center"/>
        <w:rPr>
          <w:b/>
          <w:bCs/>
        </w:rPr>
      </w:pPr>
      <w:r>
        <w:rPr>
          <w:b/>
          <w:bCs/>
        </w:rPr>
        <w:t>CONCLUSIONES</w:t>
      </w:r>
    </w:p>
    <w:p w14:paraId="6DE0D715" w14:textId="0F0C40F9" w:rsidR="00BE5BB4" w:rsidRPr="00BE5BB4" w:rsidRDefault="00BE5BB4" w:rsidP="00BE5BB4">
      <w:r>
        <w:t xml:space="preserve">El aprendizaje basado en las TICs proporciona a los estudiantes una oportunidad de aprender química </w:t>
      </w:r>
      <w:r w:rsidR="008B2288">
        <w:t>y</w:t>
      </w:r>
      <w:r w:rsidR="00D026BF">
        <w:t>,</w:t>
      </w:r>
      <w:r w:rsidR="008B2288">
        <w:t xml:space="preserve"> además,</w:t>
      </w:r>
      <w:r>
        <w:t xml:space="preserve"> </w:t>
      </w:r>
      <w:r w:rsidR="008B2288">
        <w:t>les permite</w:t>
      </w:r>
      <w:r>
        <w:t xml:space="preserve"> desarrollar habilidades como la cooperación, la búsqueda e interpretación de la información, el razonamiento crítico </w:t>
      </w:r>
      <w:r w:rsidR="008B2288">
        <w:t>y</w:t>
      </w:r>
      <w:r>
        <w:t xml:space="preserve"> el aprendizaje </w:t>
      </w:r>
      <w:r w:rsidR="003E70AD">
        <w:t>innovador</w:t>
      </w:r>
      <w:r w:rsidR="008B2288">
        <w:t>.</w:t>
      </w:r>
      <w:r w:rsidR="008B2288" w:rsidRPr="008B2288">
        <w:t xml:space="preserve"> Los medios de enseñanza-aprendizaje tecnológicos son herramientas que se la utilizan para mejorar los aprendizajes </w:t>
      </w:r>
      <w:r w:rsidR="003E70AD">
        <w:t>y propician</w:t>
      </w:r>
      <w:r w:rsidR="008B2288" w:rsidRPr="008B2288">
        <w:t xml:space="preserve"> amplias posibilidades para el desarrollo de las actividades cognoscitivas de los alumnos sobre todo los experimentos de laboratorios donde se incorporan todos los órganos de los sentidos como vista, el gusto, el oído, el olfato, el tacto.</w:t>
      </w:r>
      <w:r>
        <w:t xml:space="preserve"> </w:t>
      </w:r>
      <w:r>
        <w:tab/>
      </w:r>
    </w:p>
    <w:p w14:paraId="5A8A0186" w14:textId="47148729" w:rsidR="00DD1FAC" w:rsidRPr="00135D57" w:rsidRDefault="00DD1FAC" w:rsidP="00DD1FAC">
      <w:pPr>
        <w:jc w:val="center"/>
        <w:rPr>
          <w:b/>
          <w:bCs/>
        </w:rPr>
      </w:pPr>
      <w:r w:rsidRPr="00135D57">
        <w:rPr>
          <w:b/>
          <w:bCs/>
        </w:rPr>
        <w:t>BIBLIOGRAFÍA</w:t>
      </w:r>
    </w:p>
    <w:p w14:paraId="60326391" w14:textId="77777777" w:rsidR="00135D57" w:rsidRDefault="00135D57" w:rsidP="00EA00C3">
      <w:pPr>
        <w:spacing w:line="240" w:lineRule="auto"/>
        <w:ind w:left="284" w:hanging="284"/>
        <w:jc w:val="left"/>
      </w:pPr>
      <w:bookmarkStart w:id="2" w:name="_GoBack"/>
      <w:r w:rsidRPr="009E1D5F">
        <w:t>Daza, E., Gras, E., Gras-Velázquez, A., Guerrero, N., Gurrola</w:t>
      </w:r>
      <w:r>
        <w:t xml:space="preserve">, A., </w:t>
      </w:r>
      <w:r w:rsidRPr="009E1D5F">
        <w:t>Alexa</w:t>
      </w:r>
      <w:r>
        <w:t xml:space="preserve">, J., </w:t>
      </w:r>
      <w:r w:rsidRPr="009E1D5F">
        <w:t>Mora</w:t>
      </w:r>
      <w:r>
        <w:t xml:space="preserve">, E., </w:t>
      </w:r>
      <w:r w:rsidRPr="009E1D5F">
        <w:t>Pedraza</w:t>
      </w:r>
      <w:r>
        <w:t>, Y.,</w:t>
      </w:r>
      <w:r w:rsidRPr="009E1D5F">
        <w:t xml:space="preserve"> Ripoll</w:t>
      </w:r>
      <w:r>
        <w:t>, E., y</w:t>
      </w:r>
      <w:r w:rsidRPr="009E1D5F">
        <w:t xml:space="preserve"> Santos</w:t>
      </w:r>
      <w:r>
        <w:t xml:space="preserve">, J. (2009). </w:t>
      </w:r>
      <w:r w:rsidRPr="009E1D5F">
        <w:t>Experiencias de enseñanza de la química con el apoyo de las TIC</w:t>
      </w:r>
      <w:r>
        <w:t xml:space="preserve">. </w:t>
      </w:r>
      <w:r w:rsidRPr="009E1D5F">
        <w:rPr>
          <w:i/>
          <w:iCs/>
        </w:rPr>
        <w:t xml:space="preserve">Educación Química, </w:t>
      </w:r>
      <w:r w:rsidRPr="009E1D5F">
        <w:rPr>
          <w:i/>
          <w:iCs/>
        </w:rPr>
        <w:lastRenderedPageBreak/>
        <w:t>20</w:t>
      </w:r>
      <w:r>
        <w:t xml:space="preserve">(3). </w:t>
      </w:r>
      <w:r w:rsidRPr="009E1D5F">
        <w:t>320-329</w:t>
      </w:r>
      <w:r>
        <w:t xml:space="preserve">. </w:t>
      </w:r>
      <w:r w:rsidRPr="009E1D5F">
        <w:t>https://www.sciencedirect.com/science/article/pii/S0187893X18300326</w:t>
      </w:r>
    </w:p>
    <w:p w14:paraId="08228E5E" w14:textId="77777777" w:rsidR="00135D57" w:rsidRDefault="00135D57" w:rsidP="00EA00C3">
      <w:pPr>
        <w:spacing w:line="240" w:lineRule="auto"/>
        <w:ind w:left="284" w:hanging="284"/>
        <w:jc w:val="left"/>
      </w:pPr>
      <w:r>
        <w:t xml:space="preserve">Espinel, E. (2020). La tecnología en el aprendizaje del estudiantado de la Facultad de Ciencias Químicas, Universidad Central del Ecuador. </w:t>
      </w:r>
      <w:r w:rsidRPr="00D410A2">
        <w:rPr>
          <w:i/>
          <w:iCs/>
        </w:rPr>
        <w:t>Revista Actualidades Investigativas en Educación, 20</w:t>
      </w:r>
      <w:r>
        <w:t xml:space="preserve">(2), 1-37. </w:t>
      </w:r>
      <w:r w:rsidRPr="00D410A2">
        <w:t>https://www.scielo.sa.cr/pdf/aie/v20n2/1409-4703-aie-20-02-308.pdf</w:t>
      </w:r>
    </w:p>
    <w:p w14:paraId="30BC53B6" w14:textId="77777777" w:rsidR="00135D57" w:rsidRPr="00F205C2" w:rsidRDefault="00135D57" w:rsidP="00EA00C3">
      <w:pPr>
        <w:spacing w:line="240" w:lineRule="auto"/>
        <w:ind w:left="284" w:hanging="284"/>
        <w:jc w:val="left"/>
        <w:rPr>
          <w:lang w:val="en-US"/>
        </w:rPr>
      </w:pPr>
      <w:r>
        <w:t xml:space="preserve">Nais, M., </w:t>
      </w:r>
      <w:proofErr w:type="spellStart"/>
      <w:r w:rsidRPr="00F205C2">
        <w:t>Sugiyarto</w:t>
      </w:r>
      <w:proofErr w:type="spellEnd"/>
      <w:r>
        <w:t xml:space="preserve">, K., e </w:t>
      </w:r>
      <w:proofErr w:type="spellStart"/>
      <w:r w:rsidRPr="00F205C2">
        <w:t>Ikhsan</w:t>
      </w:r>
      <w:proofErr w:type="spellEnd"/>
      <w:r>
        <w:t xml:space="preserve">, J. (2019). </w:t>
      </w:r>
      <w:r w:rsidRPr="00F205C2">
        <w:rPr>
          <w:lang w:val="en-US"/>
        </w:rPr>
        <w:t>Virtual chemistry laboratory (virtual chem-lab): potential</w:t>
      </w:r>
      <w:r>
        <w:rPr>
          <w:lang w:val="en-US"/>
        </w:rPr>
        <w:t xml:space="preserve"> </w:t>
      </w:r>
      <w:r w:rsidRPr="00F205C2">
        <w:rPr>
          <w:lang w:val="en-US"/>
        </w:rPr>
        <w:t>experimental media in hybrid learning</w:t>
      </w:r>
      <w:r>
        <w:rPr>
          <w:lang w:val="en-US"/>
        </w:rPr>
        <w:t xml:space="preserve">. </w:t>
      </w:r>
      <w:r w:rsidRPr="00F205C2">
        <w:rPr>
          <w:i/>
          <w:iCs/>
          <w:lang w:val="en-US"/>
        </w:rPr>
        <w:t>IOP Conf. Series: Journal of Physics: Conf. Series 1156 (2019) 012028</w:t>
      </w:r>
      <w:r>
        <w:rPr>
          <w:lang w:val="en-US"/>
        </w:rPr>
        <w:t xml:space="preserve">. </w:t>
      </w:r>
      <w:r w:rsidRPr="00F205C2">
        <w:rPr>
          <w:lang w:val="en-US"/>
        </w:rPr>
        <w:t>https://iopscience.iop.org/article/10.1088/1742-6596/1156/1/012028/pdf</w:t>
      </w:r>
    </w:p>
    <w:p w14:paraId="43E4435C" w14:textId="77777777" w:rsidR="00135D57" w:rsidRDefault="00135D57" w:rsidP="00EA00C3">
      <w:pPr>
        <w:spacing w:line="240" w:lineRule="auto"/>
        <w:ind w:left="284" w:hanging="284"/>
        <w:jc w:val="left"/>
        <w:rPr>
          <w:lang w:val="en-US"/>
        </w:rPr>
      </w:pPr>
      <w:proofErr w:type="spellStart"/>
      <w:r w:rsidRPr="00F82E83">
        <w:rPr>
          <w:lang w:val="en-US"/>
        </w:rPr>
        <w:t>Pyatt</w:t>
      </w:r>
      <w:proofErr w:type="spellEnd"/>
      <w:r w:rsidRPr="00F82E83">
        <w:rPr>
          <w:lang w:val="en-US"/>
        </w:rPr>
        <w:t xml:space="preserve">, K. (2012). </w:t>
      </w:r>
      <w:r w:rsidRPr="00DD1FAC">
        <w:rPr>
          <w:lang w:val="en-US"/>
        </w:rPr>
        <w:t>Use of chemistry software to teach and assess model-based</w:t>
      </w:r>
      <w:r>
        <w:rPr>
          <w:lang w:val="en-US"/>
        </w:rPr>
        <w:t xml:space="preserve"> </w:t>
      </w:r>
      <w:r w:rsidRPr="00DD1FAC">
        <w:rPr>
          <w:lang w:val="en-US"/>
        </w:rPr>
        <w:t>reaction and equation knowledge</w:t>
      </w:r>
      <w:r>
        <w:rPr>
          <w:lang w:val="en-US"/>
        </w:rPr>
        <w:t xml:space="preserve">. </w:t>
      </w:r>
      <w:r w:rsidRPr="00DD1FAC">
        <w:rPr>
          <w:i/>
          <w:iCs/>
          <w:lang w:val="en-US"/>
        </w:rPr>
        <w:t>Journal of Technology and Science Education</w:t>
      </w:r>
      <w:r>
        <w:rPr>
          <w:lang w:val="en-US"/>
        </w:rPr>
        <w:t xml:space="preserve">. </w:t>
      </w:r>
      <w:r w:rsidRPr="00DD1FAC">
        <w:rPr>
          <w:lang w:val="en-US"/>
        </w:rPr>
        <w:t>https://files.eric.ed.gov/fulltext/EJ1135491.pdf</w:t>
      </w:r>
    </w:p>
    <w:p w14:paraId="26F8FCE3" w14:textId="77777777" w:rsidR="00135D57" w:rsidRDefault="00135D57" w:rsidP="00EA00C3">
      <w:pPr>
        <w:spacing w:line="240" w:lineRule="auto"/>
        <w:ind w:left="284" w:hanging="284"/>
        <w:jc w:val="left"/>
        <w:rPr>
          <w:lang w:val="en-US"/>
        </w:rPr>
      </w:pPr>
      <w:proofErr w:type="spellStart"/>
      <w:r w:rsidRPr="009560ED">
        <w:t>Zendler</w:t>
      </w:r>
      <w:proofErr w:type="spellEnd"/>
      <w:r w:rsidRPr="009560ED">
        <w:t xml:space="preserve">, A., y Greiner, H. </w:t>
      </w:r>
      <w:r>
        <w:t xml:space="preserve">(2020). </w:t>
      </w:r>
      <w:r w:rsidRPr="009560ED">
        <w:rPr>
          <w:lang w:val="en-US"/>
        </w:rPr>
        <w:t>The effect of two instructional methods on learning outcome in chemistry education: The experiment method and computer simulation</w:t>
      </w:r>
      <w:r>
        <w:rPr>
          <w:lang w:val="en-US"/>
        </w:rPr>
        <w:t xml:space="preserve">. </w:t>
      </w:r>
      <w:r w:rsidRPr="009560ED">
        <w:rPr>
          <w:i/>
          <w:iCs/>
          <w:lang w:val="en-US"/>
        </w:rPr>
        <w:t>Education for Chemical Engineers, 30</w:t>
      </w:r>
      <w:r>
        <w:rPr>
          <w:lang w:val="en-US"/>
        </w:rPr>
        <w:t xml:space="preserve">. 9-19. </w:t>
      </w:r>
      <w:r w:rsidRPr="009560ED">
        <w:rPr>
          <w:lang w:val="en-US"/>
        </w:rPr>
        <w:t>https://www.sciencedirect.com</w:t>
      </w:r>
      <w:bookmarkEnd w:id="2"/>
      <w:r w:rsidRPr="009560ED">
        <w:rPr>
          <w:lang w:val="en-US"/>
        </w:rPr>
        <w:t>/science/article/pii/S1749772819300727</w:t>
      </w:r>
    </w:p>
    <w:sectPr w:rsidR="00135D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D18E8"/>
    <w:multiLevelType w:val="hybridMultilevel"/>
    <w:tmpl w:val="E014F15C"/>
    <w:lvl w:ilvl="0" w:tplc="EEB68216">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D343E57"/>
    <w:multiLevelType w:val="hybridMultilevel"/>
    <w:tmpl w:val="8D96576E"/>
    <w:lvl w:ilvl="0" w:tplc="A65CA8A0">
      <w:start w:val="1"/>
      <w:numFmt w:val="decimal"/>
      <w:lvlText w:val="%1.-"/>
      <w:lvlJc w:val="left"/>
      <w:pPr>
        <w:ind w:left="720" w:hanging="360"/>
      </w:pPr>
      <w:rPr>
        <w:rFonts w:ascii="Arial" w:hAnsi="Arial" w:cs="Arial" w:hint="default"/>
        <w:sz w:val="24"/>
        <w:szCs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47A0BBC"/>
    <w:multiLevelType w:val="hybridMultilevel"/>
    <w:tmpl w:val="0C185108"/>
    <w:lvl w:ilvl="0" w:tplc="A65CA8A0">
      <w:start w:val="1"/>
      <w:numFmt w:val="decimal"/>
      <w:lvlText w:val="%1.-"/>
      <w:lvlJc w:val="left"/>
      <w:pPr>
        <w:ind w:left="720" w:hanging="360"/>
      </w:pPr>
      <w:rPr>
        <w:rFonts w:ascii="Arial" w:hAnsi="Arial" w:cs="Arial" w:hint="default"/>
        <w:sz w:val="24"/>
        <w:szCs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253B0D2E"/>
    <w:multiLevelType w:val="hybridMultilevel"/>
    <w:tmpl w:val="7B18D40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7593C0F"/>
    <w:multiLevelType w:val="hybridMultilevel"/>
    <w:tmpl w:val="F0CC89A4"/>
    <w:lvl w:ilvl="0" w:tplc="EEB68216">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30CE1735"/>
    <w:multiLevelType w:val="hybridMultilevel"/>
    <w:tmpl w:val="86FCD360"/>
    <w:lvl w:ilvl="0" w:tplc="A65CA8A0">
      <w:start w:val="1"/>
      <w:numFmt w:val="decimal"/>
      <w:lvlText w:val="%1.-"/>
      <w:lvlJc w:val="left"/>
      <w:pPr>
        <w:ind w:left="720" w:hanging="360"/>
      </w:pPr>
      <w:rPr>
        <w:rFonts w:ascii="Arial" w:hAnsi="Arial" w:cs="Arial" w:hint="default"/>
        <w:sz w:val="24"/>
        <w:szCs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33D11C5D"/>
    <w:multiLevelType w:val="hybridMultilevel"/>
    <w:tmpl w:val="F2205520"/>
    <w:lvl w:ilvl="0" w:tplc="A65CA8A0">
      <w:start w:val="1"/>
      <w:numFmt w:val="decimal"/>
      <w:lvlText w:val="%1.-"/>
      <w:lvlJc w:val="left"/>
      <w:pPr>
        <w:ind w:left="720" w:hanging="360"/>
      </w:pPr>
      <w:rPr>
        <w:rFonts w:ascii="Arial" w:hAnsi="Arial" w:cs="Arial" w:hint="default"/>
        <w:sz w:val="24"/>
        <w:szCs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410112B6"/>
    <w:multiLevelType w:val="hybridMultilevel"/>
    <w:tmpl w:val="8BE453B4"/>
    <w:lvl w:ilvl="0" w:tplc="EEB68216">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4369547F"/>
    <w:multiLevelType w:val="hybridMultilevel"/>
    <w:tmpl w:val="7F52CA4E"/>
    <w:lvl w:ilvl="0" w:tplc="A65CA8A0">
      <w:start w:val="1"/>
      <w:numFmt w:val="decimal"/>
      <w:lvlText w:val="%1.-"/>
      <w:lvlJc w:val="left"/>
      <w:pPr>
        <w:ind w:left="720" w:hanging="360"/>
      </w:pPr>
      <w:rPr>
        <w:rFonts w:ascii="Arial" w:hAnsi="Arial" w:cs="Arial" w:hint="default"/>
        <w:sz w:val="24"/>
        <w:szCs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54325BF7"/>
    <w:multiLevelType w:val="hybridMultilevel"/>
    <w:tmpl w:val="DB643C0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58C425B2"/>
    <w:multiLevelType w:val="hybridMultilevel"/>
    <w:tmpl w:val="CFDE0C3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63D3736C"/>
    <w:multiLevelType w:val="hybridMultilevel"/>
    <w:tmpl w:val="D010A4C6"/>
    <w:lvl w:ilvl="0" w:tplc="B6F6A89A">
      <w:start w:val="1"/>
      <w:numFmt w:val="decimal"/>
      <w:lvlText w:val="%1."/>
      <w:lvlJc w:val="left"/>
      <w:pPr>
        <w:ind w:left="855" w:hanging="495"/>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71D53696"/>
    <w:multiLevelType w:val="multilevel"/>
    <w:tmpl w:val="8D7EC7EC"/>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nsid w:val="78B335B0"/>
    <w:multiLevelType w:val="hybridMultilevel"/>
    <w:tmpl w:val="F0CC89A4"/>
    <w:lvl w:ilvl="0" w:tplc="EEB68216">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7DC12AA0"/>
    <w:multiLevelType w:val="hybridMultilevel"/>
    <w:tmpl w:val="147A015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num>
  <w:num w:numId="5">
    <w:abstractNumId w:val="6"/>
  </w:num>
  <w:num w:numId="6">
    <w:abstractNumId w:val="2"/>
  </w:num>
  <w:num w:numId="7">
    <w:abstractNumId w:val="0"/>
  </w:num>
  <w:num w:numId="8">
    <w:abstractNumId w:val="4"/>
  </w:num>
  <w:num w:numId="9">
    <w:abstractNumId w:val="8"/>
  </w:num>
  <w:num w:numId="10">
    <w:abstractNumId w:val="13"/>
  </w:num>
  <w:num w:numId="11">
    <w:abstractNumId w:val="10"/>
  </w:num>
  <w:num w:numId="12">
    <w:abstractNumId w:val="7"/>
  </w:num>
  <w:num w:numId="13">
    <w:abstractNumId w:val="9"/>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42"/>
    <w:rsid w:val="00002968"/>
    <w:rsid w:val="0002193F"/>
    <w:rsid w:val="00027BB0"/>
    <w:rsid w:val="000712DA"/>
    <w:rsid w:val="00076BC2"/>
    <w:rsid w:val="0007730B"/>
    <w:rsid w:val="000D5C6C"/>
    <w:rsid w:val="001016F3"/>
    <w:rsid w:val="00135D57"/>
    <w:rsid w:val="00140103"/>
    <w:rsid w:val="00142C0A"/>
    <w:rsid w:val="001644F9"/>
    <w:rsid w:val="00174C1D"/>
    <w:rsid w:val="001763B7"/>
    <w:rsid w:val="00176D69"/>
    <w:rsid w:val="00192FD2"/>
    <w:rsid w:val="001A7933"/>
    <w:rsid w:val="001D5A40"/>
    <w:rsid w:val="002025C4"/>
    <w:rsid w:val="002076AD"/>
    <w:rsid w:val="00207CB9"/>
    <w:rsid w:val="00211227"/>
    <w:rsid w:val="002239F9"/>
    <w:rsid w:val="00253D5C"/>
    <w:rsid w:val="00291BFF"/>
    <w:rsid w:val="00294AAE"/>
    <w:rsid w:val="00295923"/>
    <w:rsid w:val="00297360"/>
    <w:rsid w:val="002A7D42"/>
    <w:rsid w:val="002D7366"/>
    <w:rsid w:val="002E24C9"/>
    <w:rsid w:val="002F7A45"/>
    <w:rsid w:val="00321E72"/>
    <w:rsid w:val="00324B74"/>
    <w:rsid w:val="003345E4"/>
    <w:rsid w:val="003372C2"/>
    <w:rsid w:val="00342FDB"/>
    <w:rsid w:val="00360CE6"/>
    <w:rsid w:val="00367B6E"/>
    <w:rsid w:val="00390C9F"/>
    <w:rsid w:val="00391DCF"/>
    <w:rsid w:val="003A367C"/>
    <w:rsid w:val="003C381C"/>
    <w:rsid w:val="003C69A5"/>
    <w:rsid w:val="003D772D"/>
    <w:rsid w:val="003E70AD"/>
    <w:rsid w:val="004064D4"/>
    <w:rsid w:val="004067C0"/>
    <w:rsid w:val="004216A5"/>
    <w:rsid w:val="00424ABE"/>
    <w:rsid w:val="00426994"/>
    <w:rsid w:val="0043527B"/>
    <w:rsid w:val="0044576B"/>
    <w:rsid w:val="004469E1"/>
    <w:rsid w:val="00480120"/>
    <w:rsid w:val="004834CA"/>
    <w:rsid w:val="00495A4D"/>
    <w:rsid w:val="004967C8"/>
    <w:rsid w:val="004969D0"/>
    <w:rsid w:val="004A0FC7"/>
    <w:rsid w:val="004A5D40"/>
    <w:rsid w:val="004C63F4"/>
    <w:rsid w:val="005022B6"/>
    <w:rsid w:val="0054169B"/>
    <w:rsid w:val="005453EC"/>
    <w:rsid w:val="00572B42"/>
    <w:rsid w:val="005802FF"/>
    <w:rsid w:val="00581B98"/>
    <w:rsid w:val="00592313"/>
    <w:rsid w:val="005936DE"/>
    <w:rsid w:val="005B41D9"/>
    <w:rsid w:val="005D596E"/>
    <w:rsid w:val="005F0B9C"/>
    <w:rsid w:val="00615487"/>
    <w:rsid w:val="00622A69"/>
    <w:rsid w:val="0063027A"/>
    <w:rsid w:val="00671CC1"/>
    <w:rsid w:val="0068714E"/>
    <w:rsid w:val="006A6746"/>
    <w:rsid w:val="006B4F12"/>
    <w:rsid w:val="006B689B"/>
    <w:rsid w:val="006C4622"/>
    <w:rsid w:val="006E6B93"/>
    <w:rsid w:val="007020B9"/>
    <w:rsid w:val="00703487"/>
    <w:rsid w:val="00722D3D"/>
    <w:rsid w:val="00722DA2"/>
    <w:rsid w:val="00723634"/>
    <w:rsid w:val="0072453D"/>
    <w:rsid w:val="007246F7"/>
    <w:rsid w:val="00764109"/>
    <w:rsid w:val="00785016"/>
    <w:rsid w:val="00787026"/>
    <w:rsid w:val="00797035"/>
    <w:rsid w:val="007A7FFD"/>
    <w:rsid w:val="007C562C"/>
    <w:rsid w:val="007D2589"/>
    <w:rsid w:val="007F00B2"/>
    <w:rsid w:val="00822B86"/>
    <w:rsid w:val="00852943"/>
    <w:rsid w:val="008A5A7D"/>
    <w:rsid w:val="008B2288"/>
    <w:rsid w:val="008B472A"/>
    <w:rsid w:val="008B4A0D"/>
    <w:rsid w:val="008B583B"/>
    <w:rsid w:val="008B5F67"/>
    <w:rsid w:val="008B7200"/>
    <w:rsid w:val="008E0E36"/>
    <w:rsid w:val="008F1242"/>
    <w:rsid w:val="00920629"/>
    <w:rsid w:val="009349AE"/>
    <w:rsid w:val="00950803"/>
    <w:rsid w:val="009560ED"/>
    <w:rsid w:val="009570B3"/>
    <w:rsid w:val="00961022"/>
    <w:rsid w:val="00963FEB"/>
    <w:rsid w:val="00965D9D"/>
    <w:rsid w:val="00975D5C"/>
    <w:rsid w:val="00983E8B"/>
    <w:rsid w:val="009847CD"/>
    <w:rsid w:val="00992634"/>
    <w:rsid w:val="009A3D34"/>
    <w:rsid w:val="009A761A"/>
    <w:rsid w:val="009B6762"/>
    <w:rsid w:val="009D454B"/>
    <w:rsid w:val="009E1D5F"/>
    <w:rsid w:val="009E4D5F"/>
    <w:rsid w:val="009F2B33"/>
    <w:rsid w:val="00A01D47"/>
    <w:rsid w:val="00A46856"/>
    <w:rsid w:val="00A54876"/>
    <w:rsid w:val="00A83594"/>
    <w:rsid w:val="00AA7AAC"/>
    <w:rsid w:val="00AB6239"/>
    <w:rsid w:val="00AC0DEE"/>
    <w:rsid w:val="00AC657A"/>
    <w:rsid w:val="00AD7617"/>
    <w:rsid w:val="00AE534A"/>
    <w:rsid w:val="00AF4139"/>
    <w:rsid w:val="00AF640F"/>
    <w:rsid w:val="00B346E2"/>
    <w:rsid w:val="00B55CBA"/>
    <w:rsid w:val="00B56AE4"/>
    <w:rsid w:val="00BB3F2B"/>
    <w:rsid w:val="00BE5BB4"/>
    <w:rsid w:val="00BE7640"/>
    <w:rsid w:val="00C06BE6"/>
    <w:rsid w:val="00C358E3"/>
    <w:rsid w:val="00C41EDC"/>
    <w:rsid w:val="00C44681"/>
    <w:rsid w:val="00C463C7"/>
    <w:rsid w:val="00CE19CB"/>
    <w:rsid w:val="00D026BF"/>
    <w:rsid w:val="00D049B7"/>
    <w:rsid w:val="00D23471"/>
    <w:rsid w:val="00D366D2"/>
    <w:rsid w:val="00D410A2"/>
    <w:rsid w:val="00D4697F"/>
    <w:rsid w:val="00D64373"/>
    <w:rsid w:val="00D667C0"/>
    <w:rsid w:val="00D73323"/>
    <w:rsid w:val="00DD1FAC"/>
    <w:rsid w:val="00DF038C"/>
    <w:rsid w:val="00DF1964"/>
    <w:rsid w:val="00DF3003"/>
    <w:rsid w:val="00E67122"/>
    <w:rsid w:val="00E80466"/>
    <w:rsid w:val="00E950BF"/>
    <w:rsid w:val="00E96174"/>
    <w:rsid w:val="00EA00C3"/>
    <w:rsid w:val="00EC7F03"/>
    <w:rsid w:val="00ED5DF2"/>
    <w:rsid w:val="00F0335A"/>
    <w:rsid w:val="00F152B7"/>
    <w:rsid w:val="00F205C2"/>
    <w:rsid w:val="00F5541C"/>
    <w:rsid w:val="00F80340"/>
    <w:rsid w:val="00F8224B"/>
    <w:rsid w:val="00F82E83"/>
    <w:rsid w:val="00F85CF2"/>
    <w:rsid w:val="00F90EB7"/>
    <w:rsid w:val="00FA63EC"/>
    <w:rsid w:val="00FA6BC3"/>
    <w:rsid w:val="00FB133B"/>
    <w:rsid w:val="00FC1115"/>
    <w:rsid w:val="00FC4E0E"/>
    <w:rsid w:val="00FE69A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B7F3"/>
  <w15:chartTrackingRefBased/>
  <w15:docId w15:val="{9489DAB7-AED6-4A73-93F7-D1BC93CA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B42"/>
    <w:pPr>
      <w:spacing w:line="360" w:lineRule="auto"/>
      <w:jc w:val="both"/>
    </w:pPr>
    <w:rPr>
      <w:rFonts w:ascii="Arial" w:hAnsi="Arial"/>
      <w:color w:val="0D0D0D" w:themeColor="text1" w:themeTint="F2"/>
      <w:sz w:val="24"/>
    </w:rPr>
  </w:style>
  <w:style w:type="paragraph" w:styleId="Ttulo1">
    <w:name w:val="heading 1"/>
    <w:basedOn w:val="Normal"/>
    <w:next w:val="Normal"/>
    <w:link w:val="Ttulo1Car"/>
    <w:qFormat/>
    <w:rsid w:val="00297360"/>
    <w:pPr>
      <w:keepNext/>
      <w:keepLines/>
      <w:spacing w:before="480" w:after="0" w:line="276" w:lineRule="auto"/>
      <w:jc w:val="left"/>
      <w:outlineLvl w:val="0"/>
    </w:pPr>
    <w:rPr>
      <w:rFonts w:asciiTheme="majorHAnsi" w:eastAsiaTheme="majorEastAsia" w:hAnsiTheme="majorHAnsi" w:cstheme="majorBidi"/>
      <w:b/>
      <w:bCs/>
      <w:color w:val="2F5496" w:themeColor="accent1" w:themeShade="BF"/>
      <w:sz w:val="28"/>
      <w:szCs w:val="28"/>
      <w:lang w:val="es-ES" w:eastAsia="es-ES"/>
    </w:rPr>
  </w:style>
  <w:style w:type="paragraph" w:styleId="Ttulo3">
    <w:name w:val="heading 3"/>
    <w:basedOn w:val="Normal"/>
    <w:next w:val="Normal"/>
    <w:link w:val="Ttulo3Car"/>
    <w:uiPriority w:val="9"/>
    <w:semiHidden/>
    <w:unhideWhenUsed/>
    <w:qFormat/>
    <w:rsid w:val="00297360"/>
    <w:pPr>
      <w:keepNext/>
      <w:keepLines/>
      <w:spacing w:before="200" w:after="0" w:line="276" w:lineRule="auto"/>
      <w:jc w:val="left"/>
      <w:outlineLvl w:val="2"/>
    </w:pPr>
    <w:rPr>
      <w:rFonts w:asciiTheme="majorHAnsi" w:eastAsiaTheme="majorEastAsia" w:hAnsiTheme="majorHAnsi" w:cstheme="majorBidi"/>
      <w:b/>
      <w:bCs/>
      <w:color w:val="4472C4" w:themeColor="accent1"/>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60ED"/>
    <w:rPr>
      <w:color w:val="0563C1" w:themeColor="hyperlink"/>
      <w:u w:val="single"/>
    </w:rPr>
  </w:style>
  <w:style w:type="character" w:customStyle="1" w:styleId="UnresolvedMention">
    <w:name w:val="Unresolved Mention"/>
    <w:basedOn w:val="Fuentedeprrafopredeter"/>
    <w:uiPriority w:val="99"/>
    <w:semiHidden/>
    <w:unhideWhenUsed/>
    <w:rsid w:val="009560ED"/>
    <w:rPr>
      <w:color w:val="605E5C"/>
      <w:shd w:val="clear" w:color="auto" w:fill="E1DFDD"/>
    </w:rPr>
  </w:style>
  <w:style w:type="character" w:customStyle="1" w:styleId="Ttulo1Car">
    <w:name w:val="Título 1 Car"/>
    <w:basedOn w:val="Fuentedeprrafopredeter"/>
    <w:link w:val="Ttulo1"/>
    <w:rsid w:val="00297360"/>
    <w:rPr>
      <w:rFonts w:asciiTheme="majorHAnsi" w:eastAsiaTheme="majorEastAsia" w:hAnsiTheme="majorHAnsi" w:cstheme="majorBidi"/>
      <w:b/>
      <w:bCs/>
      <w:color w:val="2F5496" w:themeColor="accent1" w:themeShade="BF"/>
      <w:sz w:val="28"/>
      <w:szCs w:val="28"/>
      <w:lang w:val="es-ES" w:eastAsia="es-ES"/>
    </w:rPr>
  </w:style>
  <w:style w:type="character" w:customStyle="1" w:styleId="Ttulo3Car">
    <w:name w:val="Título 3 Car"/>
    <w:basedOn w:val="Fuentedeprrafopredeter"/>
    <w:link w:val="Ttulo3"/>
    <w:uiPriority w:val="9"/>
    <w:semiHidden/>
    <w:rsid w:val="00297360"/>
    <w:rPr>
      <w:rFonts w:asciiTheme="majorHAnsi" w:eastAsiaTheme="majorEastAsia" w:hAnsiTheme="majorHAnsi" w:cstheme="majorBidi"/>
      <w:b/>
      <w:bCs/>
      <w:color w:val="4472C4" w:themeColor="accent1"/>
      <w:lang w:val="es-ES" w:eastAsia="es-ES"/>
    </w:rPr>
  </w:style>
  <w:style w:type="paragraph" w:styleId="Prrafodelista">
    <w:name w:val="List Paragraph"/>
    <w:basedOn w:val="Normal"/>
    <w:uiPriority w:val="34"/>
    <w:qFormat/>
    <w:rsid w:val="00297360"/>
    <w:pPr>
      <w:spacing w:after="200" w:line="276" w:lineRule="auto"/>
      <w:ind w:left="720"/>
      <w:contextualSpacing/>
      <w:jc w:val="left"/>
    </w:pPr>
    <w:rPr>
      <w:rFonts w:asciiTheme="minorHAnsi" w:eastAsiaTheme="minorEastAsia" w:hAnsiTheme="minorHAnsi"/>
      <w:color w:val="auto"/>
      <w:sz w:val="22"/>
      <w:lang w:val="es-ES" w:eastAsia="es-ES"/>
    </w:rPr>
  </w:style>
  <w:style w:type="paragraph" w:styleId="Descripcin">
    <w:name w:val="caption"/>
    <w:basedOn w:val="Normal"/>
    <w:next w:val="Normal"/>
    <w:uiPriority w:val="35"/>
    <w:unhideWhenUsed/>
    <w:qFormat/>
    <w:rsid w:val="009F2B3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18844">
      <w:bodyDiv w:val="1"/>
      <w:marLeft w:val="0"/>
      <w:marRight w:val="0"/>
      <w:marTop w:val="0"/>
      <w:marBottom w:val="0"/>
      <w:divBdr>
        <w:top w:val="none" w:sz="0" w:space="0" w:color="auto"/>
        <w:left w:val="none" w:sz="0" w:space="0" w:color="auto"/>
        <w:bottom w:val="none" w:sz="0" w:space="0" w:color="auto"/>
        <w:right w:val="none" w:sz="0" w:space="0" w:color="auto"/>
      </w:divBdr>
    </w:div>
    <w:div w:id="206964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Hoja_de_c_lculo_de_Microsoft_Excel10.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Hoja_de_c_lculo_de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Hoja1!$B$1</c:f>
              <c:strCache>
                <c:ptCount val="1"/>
                <c:pt idx="0">
                  <c:v>50 ml</c:v>
                </c:pt>
              </c:strCache>
            </c:strRef>
          </c:tx>
          <c:spPr>
            <a:pattFill prst="wdUpDiag">
              <a:fgClr>
                <a:schemeClr val="bg1">
                  <a:lumMod val="50000"/>
                </a:schemeClr>
              </a:fgClr>
              <a:bgClr>
                <a:schemeClr val="bg1"/>
              </a:bgClr>
            </a:pattFill>
            <a:ln>
              <a:solidFill>
                <a:schemeClr val="tx1">
                  <a:lumMod val="95000"/>
                  <a:lumOff val="5000"/>
                </a:schemeClr>
              </a:solidFill>
            </a:ln>
            <a:effectLst/>
          </c:spPr>
          <c:invertIfNegative val="0"/>
          <c:dLbls>
            <c:dLbl>
              <c:idx val="0"/>
              <c:layout>
                <c:manualLayout>
                  <c:x val="0.13745704467353953"/>
                  <c:y val="1.908557726580473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9D4-4914-9505-6C32C23B8B49}"/>
                </c:ext>
                <c:ext xmlns:c15="http://schemas.microsoft.com/office/drawing/2012/chart" uri="{CE6537A1-D6FC-4f65-9D91-7224C49458BB}"/>
              </c:extLst>
            </c:dLbl>
            <c:dLbl>
              <c:idx val="1"/>
              <c:layout>
                <c:manualLayout>
                  <c:x val="0.14203894616265741"/>
                  <c:y val="5.254009915427228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9D4-4914-9505-6C32C23B8B4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M. Ambiente</c:v>
                </c:pt>
                <c:pt idx="1">
                  <c:v>Agroindustrias</c:v>
                </c:pt>
              </c:strCache>
            </c:strRef>
          </c:cat>
          <c:val>
            <c:numRef>
              <c:f>Hoja1!$B$2:$B$3</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2-89D4-4914-9505-6C32C23B8B49}"/>
            </c:ext>
          </c:extLst>
        </c:ser>
        <c:ser>
          <c:idx val="1"/>
          <c:order val="1"/>
          <c:tx>
            <c:strRef>
              <c:f>Hoja1!$C$1</c:f>
              <c:strCache>
                <c:ptCount val="1"/>
                <c:pt idx="0">
                  <c:v>25 ml</c:v>
                </c:pt>
              </c:strCache>
            </c:strRef>
          </c:tx>
          <c:spPr>
            <a:solidFill>
              <a:srgbClr val="CC0000"/>
            </a:solidFill>
            <a:ln>
              <a:solidFill>
                <a:schemeClr val="tx1">
                  <a:lumMod val="95000"/>
                  <a:lumOff val="5000"/>
                </a:schemeClr>
              </a:solidFill>
            </a:ln>
            <a:effectLst/>
          </c:spPr>
          <c:invertIfNegative val="0"/>
          <c:dLbls>
            <c:dLbl>
              <c:idx val="0"/>
              <c:layout>
                <c:manualLayout>
                  <c:x val="0.14891215917597925"/>
                  <c:y val="3.3813551083892293E-2"/>
                </c:manualLayout>
              </c:layout>
              <c:tx>
                <c:rich>
                  <a:bodyPr/>
                  <a:lstStyle/>
                  <a:p>
                    <a:fld id="{ACA843E5-0E99-4BE7-8F60-53489B98F201}" type="VALUE">
                      <a:rPr lang="en-US"/>
                      <a:pPr/>
                      <a:t>[VALOR]</a:t>
                    </a:fld>
                    <a:endParaRPr lang="es-EC"/>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9D4-4914-9505-6C32C23B8B49}"/>
                </c:ext>
                <c:ext xmlns:c15="http://schemas.microsoft.com/office/drawing/2012/chart" uri="{CE6537A1-D6FC-4f65-9D91-7224C49458BB}">
                  <c15:layout>
                    <c:manualLayout>
                      <c:w val="0.15454753722794962"/>
                      <c:h val="6.7627102167784586E-2"/>
                    </c:manualLayout>
                  </c15:layout>
                  <c15:dlblFieldTable/>
                  <c15:showDataLabelsRange val="0"/>
                </c:ext>
              </c:extLst>
            </c:dLbl>
            <c:dLbl>
              <c:idx val="1"/>
              <c:layout>
                <c:manualLayout>
                  <c:x val="0.11454753722794951"/>
                  <c:y val="3.292181069958846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9D4-4914-9505-6C32C23B8B4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M. Ambiente</c:v>
                </c:pt>
                <c:pt idx="1">
                  <c:v>Agroindustrias</c:v>
                </c:pt>
              </c:strCache>
            </c:strRef>
          </c:cat>
          <c:val>
            <c:numRef>
              <c:f>Hoja1!$C$2:$C$3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5-89D4-4914-9505-6C32C23B8B49}"/>
            </c:ext>
          </c:extLst>
        </c:ser>
        <c:dLbls>
          <c:showLegendKey val="0"/>
          <c:showVal val="0"/>
          <c:showCatName val="0"/>
          <c:showSerName val="0"/>
          <c:showPercent val="0"/>
          <c:showBubbleSize val="0"/>
        </c:dLbls>
        <c:gapWidth val="100"/>
        <c:overlap val="99"/>
        <c:serLines>
          <c:spPr>
            <a:ln w="9525" cap="flat" cmpd="sng" algn="ctr">
              <a:solidFill>
                <a:srgbClr val="FF0000"/>
              </a:solidFill>
              <a:round/>
            </a:ln>
            <a:effectLst/>
          </c:spPr>
        </c:serLines>
        <c:axId val="397051936"/>
        <c:axId val="397049976"/>
      </c:barChart>
      <c:catAx>
        <c:axId val="397051936"/>
        <c:scaling>
          <c:orientation val="minMax"/>
        </c:scaling>
        <c:delete val="0"/>
        <c:axPos val="b"/>
        <c:numFmt formatCode="General" sourceLinked="1"/>
        <c:majorTickMark val="none"/>
        <c:minorTickMark val="none"/>
        <c:tickLblPos val="nextTo"/>
        <c:spPr>
          <a:noFill/>
          <a:ln w="9525" cap="flat" cmpd="sng" algn="ctr">
            <a:solidFill>
              <a:schemeClr val="tx1">
                <a:lumMod val="95000"/>
                <a:lumOff val="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crossAx val="397049976"/>
        <c:crosses val="autoZero"/>
        <c:auto val="1"/>
        <c:lblAlgn val="ctr"/>
        <c:lblOffset val="100"/>
        <c:noMultiLvlLbl val="0"/>
      </c:catAx>
      <c:valAx>
        <c:axId val="397049976"/>
        <c:scaling>
          <c:orientation val="minMax"/>
          <c:max val="100"/>
        </c:scaling>
        <c:delete val="0"/>
        <c:axPos val="l"/>
        <c:numFmt formatCode="General" sourceLinked="1"/>
        <c:majorTickMark val="out"/>
        <c:minorTickMark val="none"/>
        <c:tickLblPos val="nextTo"/>
        <c:spPr>
          <a:noFill/>
          <a:ln>
            <a:solidFill>
              <a:schemeClr val="tx1">
                <a:lumMod val="95000"/>
                <a:lumOff val="5000"/>
              </a:schemeClr>
            </a:solid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crossAx val="397051936"/>
        <c:crosses val="autoZero"/>
        <c:crossBetween val="between"/>
        <c:majorUnit val="2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95000"/>
          <a:lumOff val="5000"/>
        </a:schemeClr>
      </a:solidFill>
      <a:round/>
    </a:ln>
    <a:effectLst/>
  </c:spPr>
  <c:txPr>
    <a:bodyPr/>
    <a:lstStyle/>
    <a:p>
      <a:pPr>
        <a:defRPr>
          <a:solidFill>
            <a:schemeClr val="tx1">
              <a:lumMod val="95000"/>
              <a:lumOff val="5000"/>
            </a:schemeClr>
          </a:solidFill>
          <a:latin typeface="Arial Narrow" panose="020B0606020202030204" pitchFamily="34" charset="0"/>
        </a:defRPr>
      </a:pPr>
      <a:endParaRPr lang="es-EC"/>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Hoja1!$B$1</c:f>
              <c:strCache>
                <c:ptCount val="1"/>
                <c:pt idx="0">
                  <c:v>Correcto</c:v>
                </c:pt>
              </c:strCache>
            </c:strRef>
          </c:tx>
          <c:spPr>
            <a:pattFill prst="wdUpDiag">
              <a:fgClr>
                <a:schemeClr val="bg1">
                  <a:lumMod val="50000"/>
                </a:schemeClr>
              </a:fgClr>
              <a:bgClr>
                <a:schemeClr val="bg1"/>
              </a:bgClr>
            </a:pattFill>
            <a:ln>
              <a:solidFill>
                <a:schemeClr val="tx1">
                  <a:lumMod val="95000"/>
                  <a:lumOff val="5000"/>
                </a:schemeClr>
              </a:solidFill>
            </a:ln>
            <a:effectLst/>
          </c:spPr>
          <c:invertIfNegative val="0"/>
          <c:dLbls>
            <c:dLbl>
              <c:idx val="0"/>
              <c:layout>
                <c:manualLayout>
                  <c:x val="0.15120274914089338"/>
                  <c:y val="-5.69151963574284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179-404B-AEA1-DC9F203B7283}"/>
                </c:ext>
                <c:ext xmlns:c15="http://schemas.microsoft.com/office/drawing/2012/chart" uri="{CE6537A1-D6FC-4f65-9D91-7224C49458BB}"/>
              </c:extLst>
            </c:dLbl>
            <c:dLbl>
              <c:idx val="1"/>
              <c:layout>
                <c:manualLayout>
                  <c:x val="0.16036655211912945"/>
                  <c:y val="-5.6915196357427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179-404B-AEA1-DC9F203B728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M. Ambiente</c:v>
                </c:pt>
                <c:pt idx="1">
                  <c:v>Agroindustrias</c:v>
                </c:pt>
              </c:strCache>
            </c:strRef>
          </c:cat>
          <c:val>
            <c:numRef>
              <c:f>Hoja1!$B$2:$B$3</c:f>
              <c:numCache>
                <c:formatCode>General</c:formatCode>
                <c:ptCount val="2"/>
                <c:pt idx="0">
                  <c:v>86.36</c:v>
                </c:pt>
                <c:pt idx="1">
                  <c:v>95.45</c:v>
                </c:pt>
              </c:numCache>
            </c:numRef>
          </c:val>
          <c:extLst xmlns:c16r2="http://schemas.microsoft.com/office/drawing/2015/06/chart">
            <c:ext xmlns:c16="http://schemas.microsoft.com/office/drawing/2014/chart" uri="{C3380CC4-5D6E-409C-BE32-E72D297353CC}">
              <c16:uniqueId val="{00000002-F179-404B-AEA1-DC9F203B7283}"/>
            </c:ext>
          </c:extLst>
        </c:ser>
        <c:ser>
          <c:idx val="1"/>
          <c:order val="1"/>
          <c:tx>
            <c:strRef>
              <c:f>Hoja1!$C$1</c:f>
              <c:strCache>
                <c:ptCount val="1"/>
                <c:pt idx="0">
                  <c:v>Incorrecto</c:v>
                </c:pt>
              </c:strCache>
            </c:strRef>
          </c:tx>
          <c:spPr>
            <a:solidFill>
              <a:srgbClr val="CC0000"/>
            </a:solidFill>
            <a:ln>
              <a:solidFill>
                <a:schemeClr val="tx1">
                  <a:lumMod val="95000"/>
                  <a:lumOff val="5000"/>
                </a:schemeClr>
              </a:solidFill>
            </a:ln>
            <a:effectLst/>
          </c:spPr>
          <c:invertIfNegative val="0"/>
          <c:dLbls>
            <c:dLbl>
              <c:idx val="0"/>
              <c:layout>
                <c:manualLayout>
                  <c:x val="0.13287514318442159"/>
                  <c:y val="-3.4149117814456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179-404B-AEA1-DC9F203B7283}"/>
                </c:ext>
                <c:ext xmlns:c15="http://schemas.microsoft.com/office/drawing/2012/chart" uri="{CE6537A1-D6FC-4f65-9D91-7224C49458BB}"/>
              </c:extLst>
            </c:dLbl>
            <c:dLbl>
              <c:idx val="1"/>
              <c:layout>
                <c:manualLayout>
                  <c:x val="0.13287514318442145"/>
                  <c:y val="-5.691519635742756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179-404B-AEA1-DC9F203B728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M. Ambiente</c:v>
                </c:pt>
                <c:pt idx="1">
                  <c:v>Agroindustrias</c:v>
                </c:pt>
              </c:strCache>
            </c:strRef>
          </c:cat>
          <c:val>
            <c:numRef>
              <c:f>Hoja1!$C$2:$C$3</c:f>
              <c:numCache>
                <c:formatCode>General</c:formatCode>
                <c:ptCount val="2"/>
                <c:pt idx="0">
                  <c:v>13.64</c:v>
                </c:pt>
                <c:pt idx="1">
                  <c:v>4.55</c:v>
                </c:pt>
              </c:numCache>
            </c:numRef>
          </c:val>
          <c:extLst xmlns:c16r2="http://schemas.microsoft.com/office/drawing/2015/06/chart">
            <c:ext xmlns:c16="http://schemas.microsoft.com/office/drawing/2014/chart" uri="{C3380CC4-5D6E-409C-BE32-E72D297353CC}">
              <c16:uniqueId val="{00000005-F179-404B-AEA1-DC9F203B7283}"/>
            </c:ext>
          </c:extLst>
        </c:ser>
        <c:dLbls>
          <c:showLegendKey val="0"/>
          <c:showVal val="0"/>
          <c:showCatName val="0"/>
          <c:showSerName val="0"/>
          <c:showPercent val="0"/>
          <c:showBubbleSize val="0"/>
        </c:dLbls>
        <c:gapWidth val="100"/>
        <c:overlap val="99"/>
        <c:serLines>
          <c:spPr>
            <a:ln w="9525" cap="flat" cmpd="sng" algn="ctr">
              <a:solidFill>
                <a:srgbClr val="FF0000"/>
              </a:solidFill>
              <a:round/>
            </a:ln>
            <a:effectLst/>
          </c:spPr>
        </c:serLines>
        <c:axId val="414742160"/>
        <c:axId val="414744120"/>
      </c:barChart>
      <c:catAx>
        <c:axId val="414742160"/>
        <c:scaling>
          <c:orientation val="minMax"/>
        </c:scaling>
        <c:delete val="0"/>
        <c:axPos val="b"/>
        <c:numFmt formatCode="General" sourceLinked="1"/>
        <c:majorTickMark val="none"/>
        <c:minorTickMark val="none"/>
        <c:tickLblPos val="nextTo"/>
        <c:spPr>
          <a:noFill/>
          <a:ln w="9525" cap="flat" cmpd="sng" algn="ctr">
            <a:solidFill>
              <a:schemeClr val="tx1">
                <a:lumMod val="95000"/>
                <a:lumOff val="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crossAx val="414744120"/>
        <c:crosses val="autoZero"/>
        <c:auto val="1"/>
        <c:lblAlgn val="ctr"/>
        <c:lblOffset val="100"/>
        <c:noMultiLvlLbl val="0"/>
      </c:catAx>
      <c:valAx>
        <c:axId val="414744120"/>
        <c:scaling>
          <c:orientation val="minMax"/>
          <c:max val="100"/>
          <c:min val="0"/>
        </c:scaling>
        <c:delete val="0"/>
        <c:axPos val="l"/>
        <c:numFmt formatCode="General" sourceLinked="1"/>
        <c:majorTickMark val="out"/>
        <c:minorTickMark val="none"/>
        <c:tickLblPos val="nextTo"/>
        <c:spPr>
          <a:noFill/>
          <a:ln>
            <a:solidFill>
              <a:schemeClr val="tx1">
                <a:lumMod val="95000"/>
                <a:lumOff val="5000"/>
              </a:schemeClr>
            </a:solid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crossAx val="414742160"/>
        <c:crosses val="autoZero"/>
        <c:crossBetween val="between"/>
        <c:majorUnit val="20"/>
      </c:valAx>
      <c:spPr>
        <a:noFill/>
        <a:ln>
          <a:noFill/>
        </a:ln>
        <a:effectLst/>
      </c:spPr>
    </c:plotArea>
    <c:legend>
      <c:legendPos val="r"/>
      <c:layout>
        <c:manualLayout>
          <c:xMode val="edge"/>
          <c:yMode val="edge"/>
          <c:x val="0.68187316791586605"/>
          <c:y val="0.60257731727757136"/>
          <c:w val="0.27945558351597805"/>
          <c:h val="0.201209111809231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95000"/>
          <a:lumOff val="5000"/>
        </a:schemeClr>
      </a:solidFill>
      <a:round/>
    </a:ln>
    <a:effectLst/>
  </c:spPr>
  <c:txPr>
    <a:bodyPr/>
    <a:lstStyle/>
    <a:p>
      <a:pPr>
        <a:defRPr>
          <a:solidFill>
            <a:schemeClr val="tx1">
              <a:lumMod val="95000"/>
              <a:lumOff val="5000"/>
            </a:schemeClr>
          </a:solidFill>
          <a:latin typeface="Arial Narrow" panose="020B0606020202030204" pitchFamily="34" charset="0"/>
        </a:defRPr>
      </a:pPr>
      <a:endParaRPr lang="es-EC"/>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Hoja1!$B$1</c:f>
              <c:strCache>
                <c:ptCount val="1"/>
                <c:pt idx="0">
                  <c:v>14.9 ml</c:v>
                </c:pt>
              </c:strCache>
            </c:strRef>
          </c:tx>
          <c:spPr>
            <a:pattFill prst="wdUpDiag">
              <a:fgClr>
                <a:schemeClr val="bg1">
                  <a:lumMod val="50000"/>
                </a:schemeClr>
              </a:fgClr>
              <a:bgClr>
                <a:schemeClr val="bg1"/>
              </a:bgClr>
            </a:pattFill>
            <a:ln>
              <a:solidFill>
                <a:schemeClr val="tx1">
                  <a:lumMod val="95000"/>
                  <a:lumOff val="5000"/>
                </a:schemeClr>
              </a:solidFill>
            </a:ln>
            <a:effectLst/>
          </c:spPr>
          <c:invertIfNegative val="0"/>
          <c:dLbls>
            <c:dLbl>
              <c:idx val="0"/>
              <c:layout>
                <c:manualLayout>
                  <c:x val="0.13745704467353953"/>
                  <c:y val="1.908557726580473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225-4F6E-9BA5-B98ED24CE946}"/>
                </c:ext>
                <c:ext xmlns:c15="http://schemas.microsoft.com/office/drawing/2012/chart" uri="{CE6537A1-D6FC-4f65-9D91-7224C49458BB}"/>
              </c:extLst>
            </c:dLbl>
            <c:dLbl>
              <c:idx val="1"/>
              <c:layout>
                <c:manualLayout>
                  <c:x val="0.14203894616265741"/>
                  <c:y val="5.254009915427228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225-4F6E-9BA5-B98ED24CE94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M. Ambiente</c:v>
                </c:pt>
                <c:pt idx="1">
                  <c:v>Agroindustrias</c:v>
                </c:pt>
              </c:strCache>
            </c:strRef>
          </c:cat>
          <c:val>
            <c:numRef>
              <c:f>Hoja1!$B$2:$B$3</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2-5225-4F6E-9BA5-B98ED24CE946}"/>
            </c:ext>
          </c:extLst>
        </c:ser>
        <c:ser>
          <c:idx val="1"/>
          <c:order val="1"/>
          <c:tx>
            <c:strRef>
              <c:f>Hoja1!$C$1</c:f>
              <c:strCache>
                <c:ptCount val="1"/>
                <c:pt idx="0">
                  <c:v>14 ml</c:v>
                </c:pt>
              </c:strCache>
            </c:strRef>
          </c:tx>
          <c:spPr>
            <a:solidFill>
              <a:srgbClr val="CC0000"/>
            </a:solidFill>
            <a:ln>
              <a:solidFill>
                <a:schemeClr val="tx1">
                  <a:lumMod val="95000"/>
                  <a:lumOff val="5000"/>
                </a:schemeClr>
              </a:solidFill>
            </a:ln>
            <a:effectLst/>
          </c:spPr>
          <c:invertIfNegative val="0"/>
          <c:dLbls>
            <c:dLbl>
              <c:idx val="0"/>
              <c:layout>
                <c:manualLayout>
                  <c:x val="0.14891215917597925"/>
                  <c:y val="3.3813551083892293E-2"/>
                </c:manualLayout>
              </c:layout>
              <c:tx>
                <c:rich>
                  <a:bodyPr/>
                  <a:lstStyle/>
                  <a:p>
                    <a:fld id="{ACA843E5-0E99-4BE7-8F60-53489B98F201}" type="VALUE">
                      <a:rPr lang="en-US"/>
                      <a:pPr/>
                      <a:t>[VALOR]</a:t>
                    </a:fld>
                    <a:endParaRPr lang="es-EC"/>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225-4F6E-9BA5-B98ED24CE946}"/>
                </c:ext>
                <c:ext xmlns:c15="http://schemas.microsoft.com/office/drawing/2012/chart" uri="{CE6537A1-D6FC-4f65-9D91-7224C49458BB}">
                  <c15:layout>
                    <c:manualLayout>
                      <c:w val="0.15454753722794962"/>
                      <c:h val="6.7627102167784586E-2"/>
                    </c:manualLayout>
                  </c15:layout>
                  <c15:dlblFieldTable/>
                  <c15:showDataLabelsRange val="0"/>
                </c:ext>
              </c:extLst>
            </c:dLbl>
            <c:dLbl>
              <c:idx val="1"/>
              <c:layout>
                <c:manualLayout>
                  <c:x val="0.11454753722794951"/>
                  <c:y val="3.292181069958846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225-4F6E-9BA5-B98ED24CE94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M. Ambiente</c:v>
                </c:pt>
                <c:pt idx="1">
                  <c:v>Agroindustrias</c:v>
                </c:pt>
              </c:strCache>
            </c:strRef>
          </c:cat>
          <c:val>
            <c:numRef>
              <c:f>Hoja1!$C$2:$C$3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5-5225-4F6E-9BA5-B98ED24CE946}"/>
            </c:ext>
          </c:extLst>
        </c:ser>
        <c:dLbls>
          <c:showLegendKey val="0"/>
          <c:showVal val="0"/>
          <c:showCatName val="0"/>
          <c:showSerName val="0"/>
          <c:showPercent val="0"/>
          <c:showBubbleSize val="0"/>
        </c:dLbls>
        <c:gapWidth val="100"/>
        <c:overlap val="99"/>
        <c:serLines>
          <c:spPr>
            <a:ln w="9525" cap="flat" cmpd="sng" algn="ctr">
              <a:solidFill>
                <a:srgbClr val="FF0000"/>
              </a:solidFill>
              <a:round/>
            </a:ln>
            <a:effectLst/>
          </c:spPr>
        </c:serLines>
        <c:axId val="397051152"/>
        <c:axId val="397051544"/>
      </c:barChart>
      <c:catAx>
        <c:axId val="397051152"/>
        <c:scaling>
          <c:orientation val="minMax"/>
        </c:scaling>
        <c:delete val="0"/>
        <c:axPos val="b"/>
        <c:numFmt formatCode="General" sourceLinked="1"/>
        <c:majorTickMark val="none"/>
        <c:minorTickMark val="none"/>
        <c:tickLblPos val="nextTo"/>
        <c:spPr>
          <a:noFill/>
          <a:ln w="9525" cap="flat" cmpd="sng" algn="ctr">
            <a:solidFill>
              <a:schemeClr val="tx1">
                <a:lumMod val="95000"/>
                <a:lumOff val="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crossAx val="397051544"/>
        <c:crosses val="autoZero"/>
        <c:auto val="1"/>
        <c:lblAlgn val="ctr"/>
        <c:lblOffset val="100"/>
        <c:noMultiLvlLbl val="0"/>
      </c:catAx>
      <c:valAx>
        <c:axId val="397051544"/>
        <c:scaling>
          <c:orientation val="minMax"/>
          <c:max val="100"/>
        </c:scaling>
        <c:delete val="0"/>
        <c:axPos val="l"/>
        <c:numFmt formatCode="General" sourceLinked="1"/>
        <c:majorTickMark val="out"/>
        <c:minorTickMark val="none"/>
        <c:tickLblPos val="nextTo"/>
        <c:spPr>
          <a:noFill/>
          <a:ln>
            <a:solidFill>
              <a:schemeClr val="tx1">
                <a:lumMod val="95000"/>
                <a:lumOff val="5000"/>
              </a:schemeClr>
            </a:solid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crossAx val="397051152"/>
        <c:crosses val="autoZero"/>
        <c:crossBetween val="between"/>
        <c:majorUnit val="2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95000"/>
          <a:lumOff val="5000"/>
        </a:schemeClr>
      </a:solidFill>
      <a:round/>
    </a:ln>
    <a:effectLst/>
  </c:spPr>
  <c:txPr>
    <a:bodyPr/>
    <a:lstStyle/>
    <a:p>
      <a:pPr>
        <a:defRPr>
          <a:solidFill>
            <a:schemeClr val="tx1">
              <a:lumMod val="95000"/>
              <a:lumOff val="5000"/>
            </a:schemeClr>
          </a:solidFill>
          <a:latin typeface="Arial Narrow" panose="020B0606020202030204" pitchFamily="34" charset="0"/>
        </a:defRPr>
      </a:pPr>
      <a:endParaRPr lang="es-EC"/>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Hoja1!$B$1</c:f>
              <c:strCache>
                <c:ptCount val="1"/>
                <c:pt idx="0">
                  <c:v>14.9 ml</c:v>
                </c:pt>
              </c:strCache>
            </c:strRef>
          </c:tx>
          <c:spPr>
            <a:pattFill prst="wdUpDiag">
              <a:fgClr>
                <a:schemeClr val="bg1">
                  <a:lumMod val="50000"/>
                </a:schemeClr>
              </a:fgClr>
              <a:bgClr>
                <a:schemeClr val="bg1"/>
              </a:bgClr>
            </a:pattFill>
            <a:ln>
              <a:solidFill>
                <a:schemeClr val="tx1">
                  <a:lumMod val="95000"/>
                  <a:lumOff val="5000"/>
                </a:schemeClr>
              </a:solidFill>
            </a:ln>
            <a:effectLst/>
          </c:spPr>
          <c:invertIfNegative val="0"/>
          <c:dLbls>
            <c:dLbl>
              <c:idx val="0"/>
              <c:layout>
                <c:manualLayout>
                  <c:x val="0.13745704467353953"/>
                  <c:y val="1.908557726580473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04A-4A36-887E-0018BB0D38DA}"/>
                </c:ext>
                <c:ext xmlns:c15="http://schemas.microsoft.com/office/drawing/2012/chart" uri="{CE6537A1-D6FC-4f65-9D91-7224C49458BB}"/>
              </c:extLst>
            </c:dLbl>
            <c:dLbl>
              <c:idx val="1"/>
              <c:layout>
                <c:manualLayout>
                  <c:x val="0.14203894616265741"/>
                  <c:y val="5.254009915427228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04A-4A36-887E-0018BB0D38D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M. Ambiente</c:v>
                </c:pt>
                <c:pt idx="1">
                  <c:v>Agroindustrias</c:v>
                </c:pt>
              </c:strCache>
            </c:strRef>
          </c:cat>
          <c:val>
            <c:numRef>
              <c:f>Hoja1!$B$2:$B$3</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2-904A-4A36-887E-0018BB0D38DA}"/>
            </c:ext>
          </c:extLst>
        </c:ser>
        <c:ser>
          <c:idx val="1"/>
          <c:order val="1"/>
          <c:tx>
            <c:strRef>
              <c:f>Hoja1!$C$1</c:f>
              <c:strCache>
                <c:ptCount val="1"/>
                <c:pt idx="0">
                  <c:v>14 ml</c:v>
                </c:pt>
              </c:strCache>
            </c:strRef>
          </c:tx>
          <c:spPr>
            <a:solidFill>
              <a:srgbClr val="CC0000"/>
            </a:solidFill>
            <a:ln>
              <a:solidFill>
                <a:schemeClr val="tx1">
                  <a:lumMod val="95000"/>
                  <a:lumOff val="5000"/>
                </a:schemeClr>
              </a:solidFill>
            </a:ln>
            <a:effectLst/>
          </c:spPr>
          <c:invertIfNegative val="0"/>
          <c:dLbls>
            <c:dLbl>
              <c:idx val="0"/>
              <c:layout>
                <c:manualLayout>
                  <c:x val="0.14891215917597925"/>
                  <c:y val="3.3813551083892293E-2"/>
                </c:manualLayout>
              </c:layout>
              <c:tx>
                <c:rich>
                  <a:bodyPr/>
                  <a:lstStyle/>
                  <a:p>
                    <a:fld id="{ACA843E5-0E99-4BE7-8F60-53489B98F201}" type="VALUE">
                      <a:rPr lang="en-US"/>
                      <a:pPr/>
                      <a:t>[VALOR]</a:t>
                    </a:fld>
                    <a:endParaRPr lang="es-EC"/>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04A-4A36-887E-0018BB0D38DA}"/>
                </c:ext>
                <c:ext xmlns:c15="http://schemas.microsoft.com/office/drawing/2012/chart" uri="{CE6537A1-D6FC-4f65-9D91-7224C49458BB}">
                  <c15:layout>
                    <c:manualLayout>
                      <c:w val="0.15454753722794962"/>
                      <c:h val="6.7627102167784586E-2"/>
                    </c:manualLayout>
                  </c15:layout>
                  <c15:dlblFieldTable/>
                  <c15:showDataLabelsRange val="0"/>
                </c:ext>
              </c:extLst>
            </c:dLbl>
            <c:dLbl>
              <c:idx val="1"/>
              <c:layout>
                <c:manualLayout>
                  <c:x val="0.11454753722794951"/>
                  <c:y val="3.292181069958846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04A-4A36-887E-0018BB0D38D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M. Ambiente</c:v>
                </c:pt>
                <c:pt idx="1">
                  <c:v>Agroindustrias</c:v>
                </c:pt>
              </c:strCache>
            </c:strRef>
          </c:cat>
          <c:val>
            <c:numRef>
              <c:f>Hoja1!$C$2:$C$3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5-904A-4A36-887E-0018BB0D38DA}"/>
            </c:ext>
          </c:extLst>
        </c:ser>
        <c:dLbls>
          <c:showLegendKey val="0"/>
          <c:showVal val="0"/>
          <c:showCatName val="0"/>
          <c:showSerName val="0"/>
          <c:showPercent val="0"/>
          <c:showBubbleSize val="0"/>
        </c:dLbls>
        <c:gapWidth val="100"/>
        <c:overlap val="99"/>
        <c:serLines>
          <c:spPr>
            <a:ln w="9525" cap="flat" cmpd="sng" algn="ctr">
              <a:solidFill>
                <a:srgbClr val="FF0000"/>
              </a:solidFill>
              <a:round/>
            </a:ln>
            <a:effectLst/>
          </c:spPr>
        </c:serLines>
        <c:axId val="329445088"/>
        <c:axId val="329447440"/>
      </c:barChart>
      <c:catAx>
        <c:axId val="329445088"/>
        <c:scaling>
          <c:orientation val="minMax"/>
        </c:scaling>
        <c:delete val="0"/>
        <c:axPos val="b"/>
        <c:numFmt formatCode="General" sourceLinked="1"/>
        <c:majorTickMark val="none"/>
        <c:minorTickMark val="none"/>
        <c:tickLblPos val="nextTo"/>
        <c:spPr>
          <a:noFill/>
          <a:ln w="9525" cap="flat" cmpd="sng" algn="ctr">
            <a:solidFill>
              <a:schemeClr val="tx1">
                <a:lumMod val="95000"/>
                <a:lumOff val="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crossAx val="329447440"/>
        <c:crosses val="autoZero"/>
        <c:auto val="1"/>
        <c:lblAlgn val="ctr"/>
        <c:lblOffset val="100"/>
        <c:noMultiLvlLbl val="0"/>
      </c:catAx>
      <c:valAx>
        <c:axId val="329447440"/>
        <c:scaling>
          <c:orientation val="minMax"/>
          <c:max val="100"/>
        </c:scaling>
        <c:delete val="0"/>
        <c:axPos val="l"/>
        <c:numFmt formatCode="General" sourceLinked="1"/>
        <c:majorTickMark val="out"/>
        <c:minorTickMark val="none"/>
        <c:tickLblPos val="nextTo"/>
        <c:spPr>
          <a:noFill/>
          <a:ln>
            <a:solidFill>
              <a:schemeClr val="tx1">
                <a:lumMod val="95000"/>
                <a:lumOff val="5000"/>
              </a:schemeClr>
            </a:solid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crossAx val="329445088"/>
        <c:crosses val="autoZero"/>
        <c:crossBetween val="between"/>
        <c:majorUnit val="2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95000"/>
          <a:lumOff val="5000"/>
        </a:schemeClr>
      </a:solidFill>
      <a:round/>
    </a:ln>
    <a:effectLst/>
  </c:spPr>
  <c:txPr>
    <a:bodyPr/>
    <a:lstStyle/>
    <a:p>
      <a:pPr>
        <a:defRPr>
          <a:solidFill>
            <a:schemeClr val="tx1">
              <a:lumMod val="95000"/>
              <a:lumOff val="5000"/>
            </a:schemeClr>
          </a:solidFill>
          <a:latin typeface="Arial Narrow" panose="020B0606020202030204" pitchFamily="34" charset="0"/>
        </a:defRPr>
      </a:pPr>
      <a:endParaRPr lang="es-EC"/>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Hoja1!$B$1</c:f>
              <c:strCache>
                <c:ptCount val="1"/>
                <c:pt idx="0">
                  <c:v>10.76 ml</c:v>
                </c:pt>
              </c:strCache>
            </c:strRef>
          </c:tx>
          <c:spPr>
            <a:pattFill prst="wdUpDiag">
              <a:fgClr>
                <a:schemeClr val="bg1">
                  <a:lumMod val="50000"/>
                </a:schemeClr>
              </a:fgClr>
              <a:bgClr>
                <a:schemeClr val="bg1"/>
              </a:bgClr>
            </a:pattFill>
            <a:ln>
              <a:solidFill>
                <a:schemeClr val="tx1">
                  <a:lumMod val="95000"/>
                  <a:lumOff val="5000"/>
                </a:schemeClr>
              </a:solidFill>
            </a:ln>
            <a:effectLst/>
          </c:spPr>
          <c:invertIfNegative val="0"/>
          <c:dLbls>
            <c:dLbl>
              <c:idx val="0"/>
              <c:layout>
                <c:manualLayout>
                  <c:x val="0.13745704467353953"/>
                  <c:y val="1.908557726580473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456-4C58-89C1-F5D46F1E3F82}"/>
                </c:ext>
                <c:ext xmlns:c15="http://schemas.microsoft.com/office/drawing/2012/chart" uri="{CE6537A1-D6FC-4f65-9D91-7224C49458BB}"/>
              </c:extLst>
            </c:dLbl>
            <c:dLbl>
              <c:idx val="1"/>
              <c:layout>
                <c:manualLayout>
                  <c:x val="0.14203894616265741"/>
                  <c:y val="5.254009915427228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456-4C58-89C1-F5D46F1E3F8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M. Ambiente</c:v>
                </c:pt>
                <c:pt idx="1">
                  <c:v>Agroindustrias</c:v>
                </c:pt>
              </c:strCache>
            </c:strRef>
          </c:cat>
          <c:val>
            <c:numRef>
              <c:f>Hoja1!$B$2:$B$3</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2-F456-4C58-89C1-F5D46F1E3F82}"/>
            </c:ext>
          </c:extLst>
        </c:ser>
        <c:ser>
          <c:idx val="1"/>
          <c:order val="1"/>
          <c:tx>
            <c:strRef>
              <c:f>Hoja1!$C$1</c:f>
              <c:strCache>
                <c:ptCount val="1"/>
                <c:pt idx="0">
                  <c:v>0.96 ml</c:v>
                </c:pt>
              </c:strCache>
            </c:strRef>
          </c:tx>
          <c:spPr>
            <a:solidFill>
              <a:srgbClr val="CC0000"/>
            </a:solidFill>
            <a:ln>
              <a:solidFill>
                <a:schemeClr val="tx1">
                  <a:lumMod val="95000"/>
                  <a:lumOff val="5000"/>
                </a:schemeClr>
              </a:solidFill>
            </a:ln>
            <a:effectLst/>
          </c:spPr>
          <c:invertIfNegative val="0"/>
          <c:dLbls>
            <c:dLbl>
              <c:idx val="0"/>
              <c:layout>
                <c:manualLayout>
                  <c:x val="0.14891215917597925"/>
                  <c:y val="3.3813551083892293E-2"/>
                </c:manualLayout>
              </c:layout>
              <c:tx>
                <c:rich>
                  <a:bodyPr/>
                  <a:lstStyle/>
                  <a:p>
                    <a:fld id="{ACA843E5-0E99-4BE7-8F60-53489B98F201}" type="VALUE">
                      <a:rPr lang="en-US"/>
                      <a:pPr/>
                      <a:t>[VALOR]</a:t>
                    </a:fld>
                    <a:endParaRPr lang="es-EC"/>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456-4C58-89C1-F5D46F1E3F82}"/>
                </c:ext>
                <c:ext xmlns:c15="http://schemas.microsoft.com/office/drawing/2012/chart" uri="{CE6537A1-D6FC-4f65-9D91-7224C49458BB}">
                  <c15:layout>
                    <c:manualLayout>
                      <c:w val="0.15454753722794962"/>
                      <c:h val="6.7627102167784586E-2"/>
                    </c:manualLayout>
                  </c15:layout>
                  <c15:dlblFieldTable/>
                  <c15:showDataLabelsRange val="0"/>
                </c:ext>
              </c:extLst>
            </c:dLbl>
            <c:dLbl>
              <c:idx val="1"/>
              <c:layout>
                <c:manualLayout>
                  <c:x val="0.11454753722794951"/>
                  <c:y val="3.292181069958846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456-4C58-89C1-F5D46F1E3F8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M. Ambiente</c:v>
                </c:pt>
                <c:pt idx="1">
                  <c:v>Agroindustrias</c:v>
                </c:pt>
              </c:strCache>
            </c:strRef>
          </c:cat>
          <c:val>
            <c:numRef>
              <c:f>Hoja1!$C$2:$C$3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5-F456-4C58-89C1-F5D46F1E3F82}"/>
            </c:ext>
          </c:extLst>
        </c:ser>
        <c:dLbls>
          <c:showLegendKey val="0"/>
          <c:showVal val="0"/>
          <c:showCatName val="0"/>
          <c:showSerName val="0"/>
          <c:showPercent val="0"/>
          <c:showBubbleSize val="0"/>
        </c:dLbls>
        <c:gapWidth val="100"/>
        <c:overlap val="99"/>
        <c:serLines>
          <c:spPr>
            <a:ln w="9525" cap="flat" cmpd="sng" algn="ctr">
              <a:solidFill>
                <a:srgbClr val="FF0000"/>
              </a:solidFill>
              <a:round/>
            </a:ln>
            <a:effectLst/>
          </c:spPr>
        </c:serLines>
        <c:axId val="329447832"/>
        <c:axId val="329445872"/>
      </c:barChart>
      <c:catAx>
        <c:axId val="329447832"/>
        <c:scaling>
          <c:orientation val="minMax"/>
        </c:scaling>
        <c:delete val="0"/>
        <c:axPos val="b"/>
        <c:numFmt formatCode="General" sourceLinked="1"/>
        <c:majorTickMark val="none"/>
        <c:minorTickMark val="none"/>
        <c:tickLblPos val="nextTo"/>
        <c:spPr>
          <a:noFill/>
          <a:ln w="9525" cap="flat" cmpd="sng" algn="ctr">
            <a:solidFill>
              <a:schemeClr val="tx1">
                <a:lumMod val="95000"/>
                <a:lumOff val="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crossAx val="329445872"/>
        <c:crosses val="autoZero"/>
        <c:auto val="1"/>
        <c:lblAlgn val="ctr"/>
        <c:lblOffset val="100"/>
        <c:noMultiLvlLbl val="0"/>
      </c:catAx>
      <c:valAx>
        <c:axId val="329445872"/>
        <c:scaling>
          <c:orientation val="minMax"/>
          <c:max val="100"/>
        </c:scaling>
        <c:delete val="0"/>
        <c:axPos val="l"/>
        <c:numFmt formatCode="General" sourceLinked="1"/>
        <c:majorTickMark val="out"/>
        <c:minorTickMark val="none"/>
        <c:tickLblPos val="nextTo"/>
        <c:spPr>
          <a:noFill/>
          <a:ln>
            <a:solidFill>
              <a:schemeClr val="tx1">
                <a:lumMod val="95000"/>
                <a:lumOff val="5000"/>
              </a:schemeClr>
            </a:solid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crossAx val="329447832"/>
        <c:crosses val="autoZero"/>
        <c:crossBetween val="between"/>
        <c:majorUnit val="2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95000"/>
          <a:lumOff val="5000"/>
        </a:schemeClr>
      </a:solidFill>
      <a:round/>
    </a:ln>
    <a:effectLst/>
  </c:spPr>
  <c:txPr>
    <a:bodyPr/>
    <a:lstStyle/>
    <a:p>
      <a:pPr>
        <a:defRPr>
          <a:solidFill>
            <a:schemeClr val="tx1">
              <a:lumMod val="95000"/>
              <a:lumOff val="5000"/>
            </a:schemeClr>
          </a:solidFill>
          <a:latin typeface="Arial Narrow" panose="020B0606020202030204" pitchFamily="34" charset="0"/>
        </a:defRPr>
      </a:pPr>
      <a:endParaRPr lang="es-EC"/>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Hoja1!$B$1</c:f>
              <c:strCache>
                <c:ptCount val="1"/>
                <c:pt idx="0">
                  <c:v>0 y 6.9</c:v>
                </c:pt>
              </c:strCache>
            </c:strRef>
          </c:tx>
          <c:spPr>
            <a:pattFill prst="wdUpDiag">
              <a:fgClr>
                <a:schemeClr val="bg1">
                  <a:lumMod val="50000"/>
                </a:schemeClr>
              </a:fgClr>
              <a:bgClr>
                <a:schemeClr val="bg1"/>
              </a:bgClr>
            </a:pattFill>
            <a:ln>
              <a:solidFill>
                <a:schemeClr val="tx1">
                  <a:lumMod val="95000"/>
                  <a:lumOff val="5000"/>
                </a:schemeClr>
              </a:solidFill>
            </a:ln>
            <a:effectLst/>
          </c:spPr>
          <c:invertIfNegative val="0"/>
          <c:dLbls>
            <c:dLbl>
              <c:idx val="0"/>
              <c:layout>
                <c:manualLayout>
                  <c:x val="0.13745704467353953"/>
                  <c:y val="1.908557726580473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FE5-4D86-B81C-F0C961808909}"/>
                </c:ext>
                <c:ext xmlns:c15="http://schemas.microsoft.com/office/drawing/2012/chart" uri="{CE6537A1-D6FC-4f65-9D91-7224C49458BB}"/>
              </c:extLst>
            </c:dLbl>
            <c:dLbl>
              <c:idx val="1"/>
              <c:layout>
                <c:manualLayout>
                  <c:x val="0.1420389461626575"/>
                  <c:y val="-2.976442759469891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FE5-4D86-B81C-F0C96180890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M. Ambiente</c:v>
                </c:pt>
                <c:pt idx="1">
                  <c:v>Agroindustrias</c:v>
                </c:pt>
              </c:strCache>
            </c:strRef>
          </c:cat>
          <c:val>
            <c:numRef>
              <c:f>Hoja1!$B$2:$B$3</c:f>
              <c:numCache>
                <c:formatCode>General</c:formatCode>
                <c:ptCount val="2"/>
                <c:pt idx="0">
                  <c:v>18.18</c:v>
                </c:pt>
                <c:pt idx="1">
                  <c:v>13.64</c:v>
                </c:pt>
              </c:numCache>
            </c:numRef>
          </c:val>
          <c:extLst xmlns:c16r2="http://schemas.microsoft.com/office/drawing/2015/06/chart">
            <c:ext xmlns:c16="http://schemas.microsoft.com/office/drawing/2014/chart" uri="{C3380CC4-5D6E-409C-BE32-E72D297353CC}">
              <c16:uniqueId val="{00000002-2FE5-4D86-B81C-F0C961808909}"/>
            </c:ext>
          </c:extLst>
        </c:ser>
        <c:ser>
          <c:idx val="1"/>
          <c:order val="1"/>
          <c:tx>
            <c:strRef>
              <c:f>Hoja1!$C$1</c:f>
              <c:strCache>
                <c:ptCount val="1"/>
                <c:pt idx="0">
                  <c:v>7.1 y 14</c:v>
                </c:pt>
              </c:strCache>
            </c:strRef>
          </c:tx>
          <c:spPr>
            <a:solidFill>
              <a:srgbClr val="CC0000"/>
            </a:solidFill>
            <a:ln>
              <a:solidFill>
                <a:schemeClr val="tx1">
                  <a:lumMod val="95000"/>
                  <a:lumOff val="5000"/>
                </a:schemeClr>
              </a:solidFill>
            </a:ln>
            <a:effectLst/>
          </c:spPr>
          <c:invertIfNegative val="0"/>
          <c:dLbls>
            <c:dLbl>
              <c:idx val="0"/>
              <c:layout>
                <c:manualLayout>
                  <c:x val="0.13058455321950732"/>
                  <c:y val="8.9174038430381384E-4"/>
                </c:manualLayout>
              </c:layout>
              <c:tx>
                <c:rich>
                  <a:bodyPr/>
                  <a:lstStyle/>
                  <a:p>
                    <a:fld id="{ACA843E5-0E99-4BE7-8F60-53489B98F201}" type="VALUE">
                      <a:rPr lang="en-US"/>
                      <a:pPr/>
                      <a:t>[VALOR]</a:t>
                    </a:fld>
                    <a:endParaRPr lang="es-EC"/>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FE5-4D86-B81C-F0C961808909}"/>
                </c:ext>
                <c:ext xmlns:c15="http://schemas.microsoft.com/office/drawing/2012/chart" uri="{CE6537A1-D6FC-4f65-9D91-7224C49458BB}">
                  <c15:layout>
                    <c:manualLayout>
                      <c:w val="0.15454753722794962"/>
                      <c:h val="6.7627102167784586E-2"/>
                    </c:manualLayout>
                  </c15:layout>
                  <c15:dlblFieldTable/>
                  <c15:showDataLabelsRange val="0"/>
                </c:ext>
              </c:extLst>
            </c:dLbl>
            <c:dLbl>
              <c:idx val="1"/>
              <c:layout>
                <c:manualLayout>
                  <c:x val="0.13287514318442153"/>
                  <c:y val="3.2921810699588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FE5-4D86-B81C-F0C96180890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M. Ambiente</c:v>
                </c:pt>
                <c:pt idx="1">
                  <c:v>Agroindustrias</c:v>
                </c:pt>
              </c:strCache>
            </c:strRef>
          </c:cat>
          <c:val>
            <c:numRef>
              <c:f>Hoja1!$C$2:$C$3</c:f>
              <c:numCache>
                <c:formatCode>General</c:formatCode>
                <c:ptCount val="2"/>
                <c:pt idx="0">
                  <c:v>81.819999999999993</c:v>
                </c:pt>
                <c:pt idx="1">
                  <c:v>86.36</c:v>
                </c:pt>
              </c:numCache>
            </c:numRef>
          </c:val>
          <c:extLst xmlns:c16r2="http://schemas.microsoft.com/office/drawing/2015/06/chart">
            <c:ext xmlns:c16="http://schemas.microsoft.com/office/drawing/2014/chart" uri="{C3380CC4-5D6E-409C-BE32-E72D297353CC}">
              <c16:uniqueId val="{00000005-2FE5-4D86-B81C-F0C961808909}"/>
            </c:ext>
          </c:extLst>
        </c:ser>
        <c:dLbls>
          <c:showLegendKey val="0"/>
          <c:showVal val="0"/>
          <c:showCatName val="0"/>
          <c:showSerName val="0"/>
          <c:showPercent val="0"/>
          <c:showBubbleSize val="0"/>
        </c:dLbls>
        <c:gapWidth val="100"/>
        <c:overlap val="99"/>
        <c:serLines>
          <c:spPr>
            <a:ln w="9525" cap="flat" cmpd="sng" algn="ctr">
              <a:solidFill>
                <a:srgbClr val="FF0000"/>
              </a:solidFill>
              <a:round/>
            </a:ln>
            <a:effectLst/>
          </c:spPr>
        </c:serLines>
        <c:axId val="329448616"/>
        <c:axId val="329448224"/>
      </c:barChart>
      <c:catAx>
        <c:axId val="329448616"/>
        <c:scaling>
          <c:orientation val="minMax"/>
        </c:scaling>
        <c:delete val="0"/>
        <c:axPos val="b"/>
        <c:numFmt formatCode="General" sourceLinked="1"/>
        <c:majorTickMark val="none"/>
        <c:minorTickMark val="none"/>
        <c:tickLblPos val="nextTo"/>
        <c:spPr>
          <a:noFill/>
          <a:ln w="9525" cap="flat" cmpd="sng" algn="ctr">
            <a:solidFill>
              <a:schemeClr val="tx1">
                <a:lumMod val="95000"/>
                <a:lumOff val="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crossAx val="329448224"/>
        <c:crosses val="autoZero"/>
        <c:auto val="1"/>
        <c:lblAlgn val="ctr"/>
        <c:lblOffset val="100"/>
        <c:noMultiLvlLbl val="0"/>
      </c:catAx>
      <c:valAx>
        <c:axId val="329448224"/>
        <c:scaling>
          <c:orientation val="minMax"/>
          <c:max val="100"/>
        </c:scaling>
        <c:delete val="0"/>
        <c:axPos val="l"/>
        <c:numFmt formatCode="General" sourceLinked="1"/>
        <c:majorTickMark val="out"/>
        <c:minorTickMark val="none"/>
        <c:tickLblPos val="nextTo"/>
        <c:spPr>
          <a:noFill/>
          <a:ln>
            <a:solidFill>
              <a:schemeClr val="tx1">
                <a:lumMod val="95000"/>
                <a:lumOff val="5000"/>
              </a:schemeClr>
            </a:solid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crossAx val="329448616"/>
        <c:crosses val="autoZero"/>
        <c:crossBetween val="between"/>
        <c:majorUnit val="20"/>
      </c:valAx>
      <c:spPr>
        <a:noFill/>
        <a:ln>
          <a:noFill/>
        </a:ln>
        <a:effectLst/>
      </c:spPr>
    </c:plotArea>
    <c:legend>
      <c:legendPos val="r"/>
      <c:layout>
        <c:manualLayout>
          <c:xMode val="edge"/>
          <c:yMode val="edge"/>
          <c:x val="0.76892929620910788"/>
          <c:y val="0.48305542054156808"/>
          <c:w val="0.18983359038883027"/>
          <c:h val="0.176549906570320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95000"/>
          <a:lumOff val="5000"/>
        </a:schemeClr>
      </a:solidFill>
      <a:round/>
    </a:ln>
    <a:effectLst/>
  </c:spPr>
  <c:txPr>
    <a:bodyPr/>
    <a:lstStyle/>
    <a:p>
      <a:pPr>
        <a:defRPr>
          <a:solidFill>
            <a:schemeClr val="tx1">
              <a:lumMod val="95000"/>
              <a:lumOff val="5000"/>
            </a:schemeClr>
          </a:solidFill>
          <a:latin typeface="Arial Narrow" panose="020B0606020202030204" pitchFamily="34" charset="0"/>
        </a:defRPr>
      </a:pPr>
      <a:endParaRPr lang="es-EC"/>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Hoja1!$B$1</c:f>
              <c:strCache>
                <c:ptCount val="1"/>
                <c:pt idx="0">
                  <c:v>0 y 6.9</c:v>
                </c:pt>
              </c:strCache>
            </c:strRef>
          </c:tx>
          <c:spPr>
            <a:pattFill prst="wdUpDiag">
              <a:fgClr>
                <a:schemeClr val="bg1">
                  <a:lumMod val="50000"/>
                </a:schemeClr>
              </a:fgClr>
              <a:bgClr>
                <a:schemeClr val="bg1"/>
              </a:bgClr>
            </a:pattFill>
            <a:ln>
              <a:solidFill>
                <a:schemeClr val="tx1">
                  <a:lumMod val="95000"/>
                  <a:lumOff val="5000"/>
                </a:schemeClr>
              </a:solidFill>
            </a:ln>
            <a:effectLst/>
          </c:spPr>
          <c:invertIfNegative val="0"/>
          <c:dLbls>
            <c:dLbl>
              <c:idx val="0"/>
              <c:layout>
                <c:manualLayout>
                  <c:x val="0.13745704467353953"/>
                  <c:y val="1.908557726580473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AB5-4CAA-BB27-95A7AC612AB0}"/>
                </c:ext>
                <c:ext xmlns:c15="http://schemas.microsoft.com/office/drawing/2012/chart" uri="{CE6537A1-D6FC-4f65-9D91-7224C49458BB}"/>
              </c:extLst>
            </c:dLbl>
            <c:dLbl>
              <c:idx val="1"/>
              <c:layout>
                <c:manualLayout>
                  <c:x val="0.1420389461626575"/>
                  <c:y val="-2.976442759469891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AB5-4CAA-BB27-95A7AC612AB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M. Ambiente</c:v>
                </c:pt>
                <c:pt idx="1">
                  <c:v>Agroindustrias</c:v>
                </c:pt>
              </c:strCache>
            </c:strRef>
          </c:cat>
          <c:val>
            <c:numRef>
              <c:f>Hoja1!$B$2:$B$3</c:f>
              <c:numCache>
                <c:formatCode>General</c:formatCode>
                <c:ptCount val="2"/>
                <c:pt idx="0">
                  <c:v>18.18</c:v>
                </c:pt>
                <c:pt idx="1">
                  <c:v>9.09</c:v>
                </c:pt>
              </c:numCache>
            </c:numRef>
          </c:val>
          <c:extLst xmlns:c16r2="http://schemas.microsoft.com/office/drawing/2015/06/chart">
            <c:ext xmlns:c16="http://schemas.microsoft.com/office/drawing/2014/chart" uri="{C3380CC4-5D6E-409C-BE32-E72D297353CC}">
              <c16:uniqueId val="{00000002-BAB5-4CAA-BB27-95A7AC612AB0}"/>
            </c:ext>
          </c:extLst>
        </c:ser>
        <c:ser>
          <c:idx val="1"/>
          <c:order val="1"/>
          <c:tx>
            <c:strRef>
              <c:f>Hoja1!$C$1</c:f>
              <c:strCache>
                <c:ptCount val="1"/>
                <c:pt idx="0">
                  <c:v>7.1 y 14</c:v>
                </c:pt>
              </c:strCache>
            </c:strRef>
          </c:tx>
          <c:spPr>
            <a:solidFill>
              <a:srgbClr val="CC0000"/>
            </a:solidFill>
            <a:ln>
              <a:solidFill>
                <a:schemeClr val="tx1">
                  <a:lumMod val="95000"/>
                  <a:lumOff val="5000"/>
                </a:schemeClr>
              </a:solidFill>
            </a:ln>
            <a:effectLst/>
          </c:spPr>
          <c:invertIfNegative val="0"/>
          <c:dLbls>
            <c:dLbl>
              <c:idx val="0"/>
              <c:layout>
                <c:manualLayout>
                  <c:x val="0.13058455321950732"/>
                  <c:y val="8.9174038430381384E-4"/>
                </c:manualLayout>
              </c:layout>
              <c:tx>
                <c:rich>
                  <a:bodyPr/>
                  <a:lstStyle/>
                  <a:p>
                    <a:fld id="{ACA843E5-0E99-4BE7-8F60-53489B98F201}" type="VALUE">
                      <a:rPr lang="en-US"/>
                      <a:pPr/>
                      <a:t>[VALOR]</a:t>
                    </a:fld>
                    <a:endParaRPr lang="es-EC"/>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AB5-4CAA-BB27-95A7AC612AB0}"/>
                </c:ext>
                <c:ext xmlns:c15="http://schemas.microsoft.com/office/drawing/2012/chart" uri="{CE6537A1-D6FC-4f65-9D91-7224C49458BB}">
                  <c15:layout>
                    <c:manualLayout>
                      <c:w val="0.15454753722794962"/>
                      <c:h val="6.7627102167784586E-2"/>
                    </c:manualLayout>
                  </c15:layout>
                  <c15:dlblFieldTable/>
                  <c15:showDataLabelsRange val="0"/>
                </c:ext>
              </c:extLst>
            </c:dLbl>
            <c:dLbl>
              <c:idx val="1"/>
              <c:layout>
                <c:manualLayout>
                  <c:x val="0.13287514318442153"/>
                  <c:y val="3.2921810699588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AB5-4CAA-BB27-95A7AC612AB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M. Ambiente</c:v>
                </c:pt>
                <c:pt idx="1">
                  <c:v>Agroindustrias</c:v>
                </c:pt>
              </c:strCache>
            </c:strRef>
          </c:cat>
          <c:val>
            <c:numRef>
              <c:f>Hoja1!$C$2:$C$3</c:f>
              <c:numCache>
                <c:formatCode>General</c:formatCode>
                <c:ptCount val="2"/>
                <c:pt idx="0">
                  <c:v>81.819999999999993</c:v>
                </c:pt>
                <c:pt idx="1">
                  <c:v>90.91</c:v>
                </c:pt>
              </c:numCache>
            </c:numRef>
          </c:val>
          <c:extLst xmlns:c16r2="http://schemas.microsoft.com/office/drawing/2015/06/chart">
            <c:ext xmlns:c16="http://schemas.microsoft.com/office/drawing/2014/chart" uri="{C3380CC4-5D6E-409C-BE32-E72D297353CC}">
              <c16:uniqueId val="{00000005-BAB5-4CAA-BB27-95A7AC612AB0}"/>
            </c:ext>
          </c:extLst>
        </c:ser>
        <c:dLbls>
          <c:showLegendKey val="0"/>
          <c:showVal val="0"/>
          <c:showCatName val="0"/>
          <c:showSerName val="0"/>
          <c:showPercent val="0"/>
          <c:showBubbleSize val="0"/>
        </c:dLbls>
        <c:gapWidth val="100"/>
        <c:overlap val="99"/>
        <c:serLines>
          <c:spPr>
            <a:ln w="9525" cap="flat" cmpd="sng" algn="ctr">
              <a:solidFill>
                <a:srgbClr val="FF0000"/>
              </a:solidFill>
              <a:round/>
            </a:ln>
            <a:effectLst/>
          </c:spPr>
        </c:serLines>
        <c:axId val="329681016"/>
        <c:axId val="329681800"/>
      </c:barChart>
      <c:catAx>
        <c:axId val="329681016"/>
        <c:scaling>
          <c:orientation val="minMax"/>
        </c:scaling>
        <c:delete val="0"/>
        <c:axPos val="b"/>
        <c:numFmt formatCode="General" sourceLinked="1"/>
        <c:majorTickMark val="none"/>
        <c:minorTickMark val="none"/>
        <c:tickLblPos val="nextTo"/>
        <c:spPr>
          <a:noFill/>
          <a:ln w="9525" cap="flat" cmpd="sng" algn="ctr">
            <a:solidFill>
              <a:schemeClr val="tx1">
                <a:lumMod val="95000"/>
                <a:lumOff val="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crossAx val="329681800"/>
        <c:crosses val="autoZero"/>
        <c:auto val="1"/>
        <c:lblAlgn val="ctr"/>
        <c:lblOffset val="100"/>
        <c:noMultiLvlLbl val="0"/>
      </c:catAx>
      <c:valAx>
        <c:axId val="329681800"/>
        <c:scaling>
          <c:orientation val="minMax"/>
          <c:max val="100"/>
        </c:scaling>
        <c:delete val="0"/>
        <c:axPos val="l"/>
        <c:numFmt formatCode="General" sourceLinked="1"/>
        <c:majorTickMark val="out"/>
        <c:minorTickMark val="none"/>
        <c:tickLblPos val="nextTo"/>
        <c:spPr>
          <a:noFill/>
          <a:ln>
            <a:solidFill>
              <a:schemeClr val="tx1">
                <a:lumMod val="95000"/>
                <a:lumOff val="5000"/>
              </a:schemeClr>
            </a:solid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crossAx val="329681016"/>
        <c:crosses val="autoZero"/>
        <c:crossBetween val="between"/>
        <c:majorUnit val="20"/>
      </c:valAx>
      <c:spPr>
        <a:noFill/>
        <a:ln>
          <a:noFill/>
        </a:ln>
        <a:effectLst/>
      </c:spPr>
    </c:plotArea>
    <c:legend>
      <c:legendPos val="r"/>
      <c:layout>
        <c:manualLayout>
          <c:xMode val="edge"/>
          <c:yMode val="edge"/>
          <c:x val="0.76892929620910788"/>
          <c:y val="0.48305542054156808"/>
          <c:w val="0.18983359038883027"/>
          <c:h val="0.176549906570320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95000"/>
          <a:lumOff val="5000"/>
        </a:schemeClr>
      </a:solidFill>
      <a:round/>
    </a:ln>
    <a:effectLst/>
  </c:spPr>
  <c:txPr>
    <a:bodyPr/>
    <a:lstStyle/>
    <a:p>
      <a:pPr>
        <a:defRPr>
          <a:solidFill>
            <a:schemeClr val="tx1">
              <a:lumMod val="95000"/>
              <a:lumOff val="5000"/>
            </a:schemeClr>
          </a:solidFill>
          <a:latin typeface="Arial Narrow" panose="020B0606020202030204" pitchFamily="34" charset="0"/>
        </a:defRPr>
      </a:pPr>
      <a:endParaRPr lang="es-EC"/>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Hoja1!$B$1</c:f>
              <c:strCache>
                <c:ptCount val="1"/>
                <c:pt idx="0">
                  <c:v>a) 0</c:v>
                </c:pt>
              </c:strCache>
            </c:strRef>
          </c:tx>
          <c:spPr>
            <a:pattFill prst="wdUpDiag">
              <a:fgClr>
                <a:schemeClr val="bg1">
                  <a:lumMod val="50000"/>
                </a:schemeClr>
              </a:fgClr>
              <a:bgClr>
                <a:schemeClr val="bg1"/>
              </a:bgClr>
            </a:pattFill>
            <a:ln>
              <a:solidFill>
                <a:schemeClr val="tx1">
                  <a:lumMod val="95000"/>
                  <a:lumOff val="5000"/>
                </a:schemeClr>
              </a:solidFill>
            </a:ln>
            <a:effectLst/>
          </c:spPr>
          <c:invertIfNegative val="0"/>
          <c:cat>
            <c:strRef>
              <c:f>Hoja1!$A$2:$A$3</c:f>
              <c:strCache>
                <c:ptCount val="2"/>
                <c:pt idx="0">
                  <c:v>M. Ambiente</c:v>
                </c:pt>
                <c:pt idx="1">
                  <c:v>Agroindustrias</c:v>
                </c:pt>
              </c:strCache>
            </c:strRef>
          </c:cat>
          <c:val>
            <c:numRef>
              <c:f>Hoja1!$B$2:$B$3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2-5B66-4C90-B335-2DC8F866E181}"/>
            </c:ext>
          </c:extLst>
        </c:ser>
        <c:ser>
          <c:idx val="1"/>
          <c:order val="1"/>
          <c:tx>
            <c:strRef>
              <c:f>Hoja1!$C$1</c:f>
              <c:strCache>
                <c:ptCount val="1"/>
                <c:pt idx="0">
                  <c:v>b) 14</c:v>
                </c:pt>
              </c:strCache>
            </c:strRef>
          </c:tx>
          <c:spPr>
            <a:solidFill>
              <a:srgbClr val="CC0000"/>
            </a:solidFill>
            <a:ln>
              <a:solidFill>
                <a:schemeClr val="tx1">
                  <a:lumMod val="95000"/>
                  <a:lumOff val="5000"/>
                </a:schemeClr>
              </a:solidFill>
            </a:ln>
            <a:effectLst/>
          </c:spPr>
          <c:invertIfNegative val="0"/>
          <c:cat>
            <c:strRef>
              <c:f>Hoja1!$A$2:$A$3</c:f>
              <c:strCache>
                <c:ptCount val="2"/>
                <c:pt idx="0">
                  <c:v>M. Ambiente</c:v>
                </c:pt>
                <c:pt idx="1">
                  <c:v>Agroindustrias</c:v>
                </c:pt>
              </c:strCache>
            </c:strRef>
          </c:cat>
          <c:val>
            <c:numRef>
              <c:f>Hoja1!$C$2:$C$3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5-5B66-4C90-B335-2DC8F866E181}"/>
            </c:ext>
          </c:extLst>
        </c:ser>
        <c:ser>
          <c:idx val="2"/>
          <c:order val="2"/>
          <c:tx>
            <c:strRef>
              <c:f>Hoja1!$D$1</c:f>
              <c:strCache>
                <c:ptCount val="1"/>
                <c:pt idx="0">
                  <c:v>c)15</c:v>
                </c:pt>
              </c:strCache>
            </c:strRef>
          </c:tx>
          <c:spPr>
            <a:solidFill>
              <a:schemeClr val="accent3"/>
            </a:solidFill>
            <a:ln>
              <a:noFill/>
            </a:ln>
            <a:effectLst/>
          </c:spPr>
          <c:invertIfNegative val="0"/>
          <c:cat>
            <c:strRef>
              <c:f>Hoja1!$A$2:$A$3</c:f>
              <c:strCache>
                <c:ptCount val="2"/>
                <c:pt idx="0">
                  <c:v>M. Ambiente</c:v>
                </c:pt>
                <c:pt idx="1">
                  <c:v>Agroindustrias</c:v>
                </c:pt>
              </c:strCache>
            </c:strRef>
          </c:cat>
          <c:val>
            <c:numRef>
              <c:f>Hoja1!$D$2:$D$3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7-5B66-4C90-B335-2DC8F866E181}"/>
            </c:ext>
          </c:extLst>
        </c:ser>
        <c:ser>
          <c:idx val="3"/>
          <c:order val="3"/>
          <c:tx>
            <c:strRef>
              <c:f>Hoja1!$E$1</c:f>
              <c:strCache>
                <c:ptCount val="1"/>
                <c:pt idx="0">
                  <c:v>d) 7</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M. Ambiente</c:v>
                </c:pt>
                <c:pt idx="1">
                  <c:v>Agroindustrias</c:v>
                </c:pt>
              </c:strCache>
            </c:strRef>
          </c:cat>
          <c:val>
            <c:numRef>
              <c:f>Hoja1!$E$2:$E$3</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8-5B66-4C90-B335-2DC8F866E181}"/>
            </c:ext>
          </c:extLst>
        </c:ser>
        <c:dLbls>
          <c:showLegendKey val="0"/>
          <c:showVal val="0"/>
          <c:showCatName val="0"/>
          <c:showSerName val="0"/>
          <c:showPercent val="0"/>
          <c:showBubbleSize val="0"/>
        </c:dLbls>
        <c:gapWidth val="100"/>
        <c:overlap val="99"/>
        <c:serLines>
          <c:spPr>
            <a:ln w="9525" cap="flat" cmpd="sng" algn="ctr">
              <a:solidFill>
                <a:srgbClr val="FF0000"/>
              </a:solidFill>
              <a:round/>
            </a:ln>
            <a:effectLst/>
          </c:spPr>
        </c:serLines>
        <c:axId val="329679056"/>
        <c:axId val="329678664"/>
      </c:barChart>
      <c:catAx>
        <c:axId val="329679056"/>
        <c:scaling>
          <c:orientation val="minMax"/>
        </c:scaling>
        <c:delete val="0"/>
        <c:axPos val="b"/>
        <c:numFmt formatCode="General" sourceLinked="1"/>
        <c:majorTickMark val="none"/>
        <c:minorTickMark val="none"/>
        <c:tickLblPos val="nextTo"/>
        <c:spPr>
          <a:noFill/>
          <a:ln w="9525" cap="flat" cmpd="sng" algn="ctr">
            <a:solidFill>
              <a:schemeClr val="tx1">
                <a:lumMod val="95000"/>
                <a:lumOff val="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crossAx val="329678664"/>
        <c:crosses val="autoZero"/>
        <c:auto val="1"/>
        <c:lblAlgn val="ctr"/>
        <c:lblOffset val="100"/>
        <c:noMultiLvlLbl val="0"/>
      </c:catAx>
      <c:valAx>
        <c:axId val="329678664"/>
        <c:scaling>
          <c:orientation val="minMax"/>
          <c:max val="100"/>
        </c:scaling>
        <c:delete val="0"/>
        <c:axPos val="l"/>
        <c:numFmt formatCode="General" sourceLinked="1"/>
        <c:majorTickMark val="out"/>
        <c:minorTickMark val="none"/>
        <c:tickLblPos val="nextTo"/>
        <c:spPr>
          <a:noFill/>
          <a:ln>
            <a:solidFill>
              <a:schemeClr val="tx1">
                <a:lumMod val="95000"/>
                <a:lumOff val="5000"/>
              </a:schemeClr>
            </a:solid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crossAx val="329679056"/>
        <c:crosses val="autoZero"/>
        <c:crossBetween val="between"/>
        <c:majorUnit val="20"/>
      </c:valAx>
      <c:spPr>
        <a:noFill/>
        <a:ln>
          <a:noFill/>
        </a:ln>
        <a:effectLst/>
      </c:spPr>
    </c:plotArea>
    <c:legend>
      <c:legendPos val="r"/>
      <c:layout>
        <c:manualLayout>
          <c:xMode val="edge"/>
          <c:yMode val="edge"/>
          <c:x val="0.77351119769822585"/>
          <c:y val="0.26108613913300677"/>
          <c:w val="0.14658044033155648"/>
          <c:h val="0.3662631812457705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95000"/>
          <a:lumOff val="5000"/>
        </a:schemeClr>
      </a:solidFill>
      <a:round/>
    </a:ln>
    <a:effectLst/>
  </c:spPr>
  <c:txPr>
    <a:bodyPr/>
    <a:lstStyle/>
    <a:p>
      <a:pPr>
        <a:defRPr>
          <a:solidFill>
            <a:schemeClr val="tx1">
              <a:lumMod val="95000"/>
              <a:lumOff val="5000"/>
            </a:schemeClr>
          </a:solidFill>
          <a:latin typeface="Arial Narrow" panose="020B0606020202030204" pitchFamily="34" charset="0"/>
        </a:defRPr>
      </a:pPr>
      <a:endParaRPr lang="es-EC"/>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a) Arrhenius</c:v>
                </c:pt>
              </c:strCache>
            </c:strRef>
          </c:tx>
          <c:spPr>
            <a:pattFill prst="wdUpDiag">
              <a:fgClr>
                <a:schemeClr val="bg1">
                  <a:lumMod val="50000"/>
                </a:schemeClr>
              </a:fgClr>
              <a:bgClr>
                <a:schemeClr val="bg1"/>
              </a:bgClr>
            </a:pattFill>
            <a:ln>
              <a:solidFill>
                <a:schemeClr val="tx1">
                  <a:lumMod val="95000"/>
                  <a:lumOff val="5000"/>
                </a:schemeClr>
              </a:solidFill>
            </a:ln>
            <a:effectLst/>
          </c:spPr>
          <c:invertIfNegative val="0"/>
          <c:cat>
            <c:strRef>
              <c:f>Hoja1!$A$2:$A$3</c:f>
              <c:strCache>
                <c:ptCount val="2"/>
                <c:pt idx="0">
                  <c:v>M. Ambiente</c:v>
                </c:pt>
                <c:pt idx="1">
                  <c:v>Agroindustrias</c:v>
                </c:pt>
              </c:strCache>
            </c:strRef>
          </c:cat>
          <c:val>
            <c:numRef>
              <c:f>Hoja1!$B$2:$B$3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0-8257-4DA3-B72C-43CB4B8D864C}"/>
            </c:ext>
          </c:extLst>
        </c:ser>
        <c:ser>
          <c:idx val="1"/>
          <c:order val="1"/>
          <c:tx>
            <c:strRef>
              <c:f>Hoja1!$C$1</c:f>
              <c:strCache>
                <c:ptCount val="1"/>
                <c:pt idx="0">
                  <c:v>b) Lewis</c:v>
                </c:pt>
              </c:strCache>
            </c:strRef>
          </c:tx>
          <c:spPr>
            <a:solidFill>
              <a:srgbClr val="CC0000"/>
            </a:solidFill>
            <a:ln>
              <a:solidFill>
                <a:schemeClr val="tx1">
                  <a:lumMod val="95000"/>
                  <a:lumOff val="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M. Ambiente</c:v>
                </c:pt>
                <c:pt idx="1">
                  <c:v>Agroindustrias</c:v>
                </c:pt>
              </c:strCache>
            </c:strRef>
          </c:cat>
          <c:val>
            <c:numRef>
              <c:f>Hoja1!$C$2:$C$3</c:f>
              <c:numCache>
                <c:formatCode>General</c:formatCode>
                <c:ptCount val="2"/>
                <c:pt idx="0">
                  <c:v>9.09</c:v>
                </c:pt>
                <c:pt idx="1">
                  <c:v>4.55</c:v>
                </c:pt>
              </c:numCache>
            </c:numRef>
          </c:val>
          <c:extLst xmlns:c16r2="http://schemas.microsoft.com/office/drawing/2015/06/chart">
            <c:ext xmlns:c16="http://schemas.microsoft.com/office/drawing/2014/chart" uri="{C3380CC4-5D6E-409C-BE32-E72D297353CC}">
              <c16:uniqueId val="{00000001-8257-4DA3-B72C-43CB4B8D864C}"/>
            </c:ext>
          </c:extLst>
        </c:ser>
        <c:ser>
          <c:idx val="2"/>
          <c:order val="2"/>
          <c:tx>
            <c:strRef>
              <c:f>Hoja1!$D$1</c:f>
              <c:strCache>
                <c:ptCount val="1"/>
                <c:pt idx="0">
                  <c:v>c) Le Chatelier</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M. Ambiente</c:v>
                </c:pt>
                <c:pt idx="1">
                  <c:v>Agroindustrias</c:v>
                </c:pt>
              </c:strCache>
            </c:strRef>
          </c:cat>
          <c:val>
            <c:numRef>
              <c:f>Hoja1!$D$2:$D$3</c:f>
              <c:numCache>
                <c:formatCode>General</c:formatCode>
                <c:ptCount val="2"/>
                <c:pt idx="0">
                  <c:v>90.91</c:v>
                </c:pt>
                <c:pt idx="1">
                  <c:v>96.45</c:v>
                </c:pt>
              </c:numCache>
            </c:numRef>
          </c:val>
          <c:extLst xmlns:c16r2="http://schemas.microsoft.com/office/drawing/2015/06/chart">
            <c:ext xmlns:c16="http://schemas.microsoft.com/office/drawing/2014/chart" uri="{C3380CC4-5D6E-409C-BE32-E72D297353CC}">
              <c16:uniqueId val="{00000002-8257-4DA3-B72C-43CB4B8D864C}"/>
            </c:ext>
          </c:extLst>
        </c:ser>
        <c:ser>
          <c:idx val="3"/>
          <c:order val="3"/>
          <c:tx>
            <c:strRef>
              <c:f>Hoja1!$E$1</c:f>
              <c:strCache>
                <c:ptCount val="1"/>
                <c:pt idx="0">
                  <c:v>d) Bronted Lowry</c:v>
                </c:pt>
              </c:strCache>
            </c:strRef>
          </c:tx>
          <c:spPr>
            <a:solidFill>
              <a:schemeClr val="accent6"/>
            </a:solidFill>
            <a:ln>
              <a:noFill/>
            </a:ln>
            <a:effectLst/>
          </c:spPr>
          <c:invertIfNegative val="0"/>
          <c:cat>
            <c:strRef>
              <c:f>Hoja1!$A$2:$A$3</c:f>
              <c:strCache>
                <c:ptCount val="2"/>
                <c:pt idx="0">
                  <c:v>M. Ambiente</c:v>
                </c:pt>
                <c:pt idx="1">
                  <c:v>Agroindustrias</c:v>
                </c:pt>
              </c:strCache>
            </c:strRef>
          </c:cat>
          <c:val>
            <c:numRef>
              <c:f>Hoja1!$E$2:$E$3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3-8257-4DA3-B72C-43CB4B8D864C}"/>
            </c:ext>
          </c:extLst>
        </c:ser>
        <c:dLbls>
          <c:showLegendKey val="0"/>
          <c:showVal val="0"/>
          <c:showCatName val="0"/>
          <c:showSerName val="0"/>
          <c:showPercent val="0"/>
          <c:showBubbleSize val="0"/>
        </c:dLbls>
        <c:gapWidth val="100"/>
        <c:axId val="329679448"/>
        <c:axId val="329681408"/>
      </c:barChart>
      <c:catAx>
        <c:axId val="329679448"/>
        <c:scaling>
          <c:orientation val="minMax"/>
        </c:scaling>
        <c:delete val="0"/>
        <c:axPos val="b"/>
        <c:numFmt formatCode="General" sourceLinked="1"/>
        <c:majorTickMark val="none"/>
        <c:minorTickMark val="none"/>
        <c:tickLblPos val="nextTo"/>
        <c:spPr>
          <a:noFill/>
          <a:ln w="9525" cap="flat" cmpd="sng" algn="ctr">
            <a:solidFill>
              <a:schemeClr val="tx1">
                <a:lumMod val="95000"/>
                <a:lumOff val="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crossAx val="329681408"/>
        <c:crosses val="autoZero"/>
        <c:auto val="1"/>
        <c:lblAlgn val="ctr"/>
        <c:lblOffset val="100"/>
        <c:noMultiLvlLbl val="0"/>
      </c:catAx>
      <c:valAx>
        <c:axId val="329681408"/>
        <c:scaling>
          <c:orientation val="minMax"/>
          <c:max val="100"/>
        </c:scaling>
        <c:delete val="0"/>
        <c:axPos val="l"/>
        <c:numFmt formatCode="General" sourceLinked="1"/>
        <c:majorTickMark val="out"/>
        <c:minorTickMark val="none"/>
        <c:tickLblPos val="nextTo"/>
        <c:spPr>
          <a:noFill/>
          <a:ln>
            <a:solidFill>
              <a:schemeClr val="tx1">
                <a:lumMod val="95000"/>
                <a:lumOff val="5000"/>
              </a:schemeClr>
            </a:solid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crossAx val="329679448"/>
        <c:crosses val="autoZero"/>
        <c:crossBetween val="between"/>
        <c:majorUnit val="20"/>
      </c:valAx>
      <c:spPr>
        <a:noFill/>
        <a:ln>
          <a:noFill/>
        </a:ln>
        <a:effectLst/>
      </c:spPr>
    </c:plotArea>
    <c:legend>
      <c:legendPos val="r"/>
      <c:layout>
        <c:manualLayout>
          <c:xMode val="edge"/>
          <c:yMode val="edge"/>
          <c:x val="0.77351119769822585"/>
          <c:y val="0.26108613913300677"/>
          <c:w val="0.22648899656773672"/>
          <c:h val="0.3662631812457705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95000"/>
          <a:lumOff val="5000"/>
        </a:schemeClr>
      </a:solidFill>
      <a:round/>
    </a:ln>
    <a:effectLst/>
  </c:spPr>
  <c:txPr>
    <a:bodyPr/>
    <a:lstStyle/>
    <a:p>
      <a:pPr>
        <a:defRPr>
          <a:solidFill>
            <a:schemeClr val="tx1">
              <a:lumMod val="95000"/>
              <a:lumOff val="5000"/>
            </a:schemeClr>
          </a:solidFill>
          <a:latin typeface="Arial Narrow" panose="020B0606020202030204" pitchFamily="34" charset="0"/>
        </a:defRPr>
      </a:pPr>
      <a:endParaRPr lang="es-EC"/>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Hoja1!$B$1</c:f>
              <c:strCache>
                <c:ptCount val="1"/>
                <c:pt idx="0">
                  <c:v>Sí</c:v>
                </c:pt>
              </c:strCache>
            </c:strRef>
          </c:tx>
          <c:spPr>
            <a:pattFill prst="wdUpDiag">
              <a:fgClr>
                <a:schemeClr val="bg1">
                  <a:lumMod val="50000"/>
                </a:schemeClr>
              </a:fgClr>
              <a:bgClr>
                <a:schemeClr val="bg1"/>
              </a:bgClr>
            </a:pattFill>
            <a:ln>
              <a:solidFill>
                <a:schemeClr val="tx1">
                  <a:lumMod val="95000"/>
                  <a:lumOff val="5000"/>
                </a:schemeClr>
              </a:solidFill>
            </a:ln>
            <a:effectLst/>
          </c:spPr>
          <c:invertIfNegative val="0"/>
          <c:dLbls>
            <c:dLbl>
              <c:idx val="0"/>
              <c:layout>
                <c:manualLayout>
                  <c:x val="0.15120274914089338"/>
                  <c:y val="-5.69151963574284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4FF-4B57-B75B-5B79F223D67F}"/>
                </c:ext>
                <c:ext xmlns:c15="http://schemas.microsoft.com/office/drawing/2012/chart" uri="{CE6537A1-D6FC-4f65-9D91-7224C49458BB}"/>
              </c:extLst>
            </c:dLbl>
            <c:dLbl>
              <c:idx val="1"/>
              <c:layout>
                <c:manualLayout>
                  <c:x val="0.16036655211912945"/>
                  <c:y val="-5.6915196357427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4FF-4B57-B75B-5B79F223D67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M. Ambiente</c:v>
                </c:pt>
                <c:pt idx="1">
                  <c:v>Agroindustrias</c:v>
                </c:pt>
              </c:strCache>
            </c:strRef>
          </c:cat>
          <c:val>
            <c:numRef>
              <c:f>Hoja1!$B$2:$B$3</c:f>
              <c:numCache>
                <c:formatCode>General</c:formatCode>
                <c:ptCount val="2"/>
                <c:pt idx="0">
                  <c:v>86.36</c:v>
                </c:pt>
                <c:pt idx="1">
                  <c:v>95.45</c:v>
                </c:pt>
              </c:numCache>
            </c:numRef>
          </c:val>
          <c:extLst xmlns:c16r2="http://schemas.microsoft.com/office/drawing/2015/06/chart">
            <c:ext xmlns:c16="http://schemas.microsoft.com/office/drawing/2014/chart" uri="{C3380CC4-5D6E-409C-BE32-E72D297353CC}">
              <c16:uniqueId val="{00000000-F950-47B5-BE7C-156F0393750B}"/>
            </c:ext>
          </c:extLst>
        </c:ser>
        <c:ser>
          <c:idx val="1"/>
          <c:order val="1"/>
          <c:tx>
            <c:strRef>
              <c:f>Hoja1!$C$1</c:f>
              <c:strCache>
                <c:ptCount val="1"/>
                <c:pt idx="0">
                  <c:v>No</c:v>
                </c:pt>
              </c:strCache>
            </c:strRef>
          </c:tx>
          <c:spPr>
            <a:solidFill>
              <a:srgbClr val="CC0000"/>
            </a:solidFill>
            <a:ln>
              <a:solidFill>
                <a:schemeClr val="tx1">
                  <a:lumMod val="95000"/>
                  <a:lumOff val="5000"/>
                </a:schemeClr>
              </a:solidFill>
            </a:ln>
            <a:effectLst/>
          </c:spPr>
          <c:invertIfNegative val="0"/>
          <c:dLbls>
            <c:dLbl>
              <c:idx val="0"/>
              <c:layout>
                <c:manualLayout>
                  <c:x val="0.13287514318442159"/>
                  <c:y val="-3.4149117814456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4FF-4B57-B75B-5B79F223D67F}"/>
                </c:ext>
                <c:ext xmlns:c15="http://schemas.microsoft.com/office/drawing/2012/chart" uri="{CE6537A1-D6FC-4f65-9D91-7224C49458BB}"/>
              </c:extLst>
            </c:dLbl>
            <c:dLbl>
              <c:idx val="1"/>
              <c:layout>
                <c:manualLayout>
                  <c:x val="0.13287514318442145"/>
                  <c:y val="-5.691519635742756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4FF-4B57-B75B-5B79F223D67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M. Ambiente</c:v>
                </c:pt>
                <c:pt idx="1">
                  <c:v>Agroindustrias</c:v>
                </c:pt>
              </c:strCache>
            </c:strRef>
          </c:cat>
          <c:val>
            <c:numRef>
              <c:f>Hoja1!$C$2:$C$3</c:f>
              <c:numCache>
                <c:formatCode>General</c:formatCode>
                <c:ptCount val="2"/>
                <c:pt idx="0">
                  <c:v>13.64</c:v>
                </c:pt>
                <c:pt idx="1">
                  <c:v>4.55</c:v>
                </c:pt>
              </c:numCache>
            </c:numRef>
          </c:val>
          <c:extLst xmlns:c16r2="http://schemas.microsoft.com/office/drawing/2015/06/chart">
            <c:ext xmlns:c16="http://schemas.microsoft.com/office/drawing/2014/chart" uri="{C3380CC4-5D6E-409C-BE32-E72D297353CC}">
              <c16:uniqueId val="{00000001-F950-47B5-BE7C-156F0393750B}"/>
            </c:ext>
          </c:extLst>
        </c:ser>
        <c:dLbls>
          <c:showLegendKey val="0"/>
          <c:showVal val="0"/>
          <c:showCatName val="0"/>
          <c:showSerName val="0"/>
          <c:showPercent val="0"/>
          <c:showBubbleSize val="0"/>
        </c:dLbls>
        <c:gapWidth val="100"/>
        <c:overlap val="99"/>
        <c:serLines>
          <c:spPr>
            <a:ln w="9525" cap="flat" cmpd="sng" algn="ctr">
              <a:solidFill>
                <a:srgbClr val="FF0000"/>
              </a:solidFill>
              <a:round/>
            </a:ln>
            <a:effectLst/>
          </c:spPr>
        </c:serLines>
        <c:axId val="329680624"/>
        <c:axId val="414742944"/>
      </c:barChart>
      <c:catAx>
        <c:axId val="329680624"/>
        <c:scaling>
          <c:orientation val="minMax"/>
        </c:scaling>
        <c:delete val="0"/>
        <c:axPos val="b"/>
        <c:numFmt formatCode="General" sourceLinked="1"/>
        <c:majorTickMark val="none"/>
        <c:minorTickMark val="none"/>
        <c:tickLblPos val="nextTo"/>
        <c:spPr>
          <a:noFill/>
          <a:ln w="9525" cap="flat" cmpd="sng" algn="ctr">
            <a:solidFill>
              <a:schemeClr val="tx1">
                <a:lumMod val="95000"/>
                <a:lumOff val="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crossAx val="414742944"/>
        <c:crosses val="autoZero"/>
        <c:auto val="1"/>
        <c:lblAlgn val="ctr"/>
        <c:lblOffset val="100"/>
        <c:noMultiLvlLbl val="0"/>
      </c:catAx>
      <c:valAx>
        <c:axId val="414742944"/>
        <c:scaling>
          <c:orientation val="minMax"/>
          <c:max val="100"/>
          <c:min val="0"/>
        </c:scaling>
        <c:delete val="0"/>
        <c:axPos val="l"/>
        <c:numFmt formatCode="General" sourceLinked="1"/>
        <c:majorTickMark val="out"/>
        <c:minorTickMark val="none"/>
        <c:tickLblPos val="nextTo"/>
        <c:spPr>
          <a:noFill/>
          <a:ln>
            <a:solidFill>
              <a:schemeClr val="tx1">
                <a:lumMod val="95000"/>
                <a:lumOff val="5000"/>
              </a:schemeClr>
            </a:solid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crossAx val="329680624"/>
        <c:crosses val="autoZero"/>
        <c:crossBetween val="between"/>
        <c:majorUnit val="20"/>
      </c:valAx>
      <c:spPr>
        <a:noFill/>
        <a:ln>
          <a:noFill/>
        </a:ln>
        <a:effectLst/>
      </c:spPr>
    </c:plotArea>
    <c:legend>
      <c:legendPos val="r"/>
      <c:layout>
        <c:manualLayout>
          <c:xMode val="edge"/>
          <c:yMode val="edge"/>
          <c:x val="0.81474831110028767"/>
          <c:y val="0.60257731727757136"/>
          <c:w val="0.14658044033155648"/>
          <c:h val="0.167059993994774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95000"/>
          <a:lumOff val="5000"/>
        </a:schemeClr>
      </a:solidFill>
      <a:round/>
    </a:ln>
    <a:effectLst/>
  </c:spPr>
  <c:txPr>
    <a:bodyPr/>
    <a:lstStyle/>
    <a:p>
      <a:pPr>
        <a:defRPr>
          <a:solidFill>
            <a:schemeClr val="tx1">
              <a:lumMod val="95000"/>
              <a:lumOff val="5000"/>
            </a:schemeClr>
          </a:solidFill>
          <a:latin typeface="Arial Narrow" panose="020B0606020202030204" pitchFamily="34" charset="0"/>
        </a:defRPr>
      </a:pPr>
      <a:endParaRPr lang="es-EC"/>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21ED1-0304-47E7-ADD8-00E7246A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2601</Words>
  <Characters>14310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DIOS cambia vidas</cp:lastModifiedBy>
  <cp:revision>5</cp:revision>
  <dcterms:created xsi:type="dcterms:W3CDTF">2021-09-30T21:50:00Z</dcterms:created>
  <dcterms:modified xsi:type="dcterms:W3CDTF">2022-02-10T16:38:00Z</dcterms:modified>
</cp:coreProperties>
</file>