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A0" w:rsidRDefault="004A6CA0" w:rsidP="0067736C">
      <w:pPr>
        <w:spacing w:line="360" w:lineRule="auto"/>
        <w:ind w:left="720" w:hanging="720"/>
        <w:jc w:val="center"/>
        <w:rPr>
          <w:rFonts w:ascii="Arial" w:eastAsia="Arial" w:hAnsi="Arial" w:cs="Arial"/>
          <w:b/>
          <w:sz w:val="24"/>
          <w:szCs w:val="28"/>
        </w:rPr>
      </w:pPr>
    </w:p>
    <w:p w:rsidR="004A6CA0" w:rsidRPr="00E41F1D" w:rsidRDefault="004A6CA0" w:rsidP="00695528">
      <w:pPr>
        <w:spacing w:line="360" w:lineRule="auto"/>
        <w:ind w:left="720" w:hanging="720"/>
        <w:jc w:val="center"/>
        <w:rPr>
          <w:rFonts w:ascii="Arial" w:eastAsia="Arial" w:hAnsi="Arial" w:cs="Arial"/>
          <w:b/>
          <w:sz w:val="28"/>
          <w:szCs w:val="24"/>
        </w:rPr>
      </w:pPr>
      <w:r w:rsidRPr="00E41F1D">
        <w:rPr>
          <w:rFonts w:ascii="Arial" w:eastAsia="Arial" w:hAnsi="Arial" w:cs="Arial"/>
          <w:b/>
          <w:sz w:val="28"/>
          <w:szCs w:val="24"/>
        </w:rPr>
        <w:t>“PROPUESTA DE PLIEGO TARIFARI</w:t>
      </w:r>
      <w:r w:rsidR="004E4848" w:rsidRPr="00E41F1D">
        <w:rPr>
          <w:rFonts w:ascii="Arial" w:eastAsia="Arial" w:hAnsi="Arial" w:cs="Arial"/>
          <w:b/>
          <w:sz w:val="28"/>
          <w:szCs w:val="24"/>
        </w:rPr>
        <w:t xml:space="preserve">O PARA EL COBRO DEL SERVICIO DE </w:t>
      </w:r>
      <w:r w:rsidRPr="00E41F1D">
        <w:rPr>
          <w:rFonts w:ascii="Arial" w:eastAsia="Arial" w:hAnsi="Arial" w:cs="Arial"/>
          <w:b/>
          <w:sz w:val="28"/>
          <w:szCs w:val="24"/>
        </w:rPr>
        <w:t xml:space="preserve">AGUA POTABLE A PARTIR DEL ESTUDIO TÉCNICO  REALIZADO </w:t>
      </w:r>
      <w:r w:rsidR="004E4848" w:rsidRPr="00E41F1D">
        <w:rPr>
          <w:rFonts w:ascii="Arial" w:eastAsia="Arial" w:hAnsi="Arial" w:cs="Arial"/>
          <w:b/>
          <w:sz w:val="28"/>
          <w:szCs w:val="24"/>
        </w:rPr>
        <w:t>P</w:t>
      </w:r>
      <w:r w:rsidRPr="00E41F1D">
        <w:rPr>
          <w:rFonts w:ascii="Arial" w:eastAsia="Arial" w:hAnsi="Arial" w:cs="Arial"/>
          <w:b/>
          <w:sz w:val="28"/>
          <w:szCs w:val="24"/>
        </w:rPr>
        <w:t>OR LA EMMAP-EP”</w:t>
      </w:r>
    </w:p>
    <w:p w:rsidR="004A6CA0" w:rsidRDefault="004A6CA0" w:rsidP="00E41F1D">
      <w:pPr>
        <w:spacing w:after="0" w:line="360" w:lineRule="auto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Gloria Yomira </w:t>
      </w:r>
      <w:r w:rsidR="001831AA">
        <w:rPr>
          <w:rFonts w:ascii="Arial" w:eastAsia="Arial" w:hAnsi="Arial" w:cs="Arial"/>
          <w:sz w:val="24"/>
          <w:szCs w:val="24"/>
        </w:rPr>
        <w:t xml:space="preserve">Loor </w:t>
      </w:r>
      <w:r>
        <w:rPr>
          <w:rFonts w:ascii="Arial" w:eastAsia="Arial" w:hAnsi="Arial" w:cs="Arial"/>
          <w:sz w:val="24"/>
          <w:szCs w:val="24"/>
        </w:rPr>
        <w:t>Chávez</w:t>
      </w:r>
    </w:p>
    <w:p w:rsidR="004A6CA0" w:rsidRDefault="004A6CA0" w:rsidP="00E41F1D">
      <w:pPr>
        <w:spacing w:after="0" w:line="360" w:lineRule="auto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Andrea Sofía Mendoza Zambrano</w:t>
      </w:r>
    </w:p>
    <w:p w:rsidR="004A6CA0" w:rsidRDefault="004A6CA0" w:rsidP="00E41F1D">
      <w:pPr>
        <w:spacing w:after="0" w:line="360" w:lineRule="auto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Quinche Viviana Pinargote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Álava</w:t>
      </w:r>
    </w:p>
    <w:p w:rsidR="00CB0124" w:rsidRPr="00CB0124" w:rsidRDefault="00CB0124" w:rsidP="00E41F1D">
      <w:pPr>
        <w:pStyle w:val="Ttulo3"/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color w:val="auto"/>
          <w:spacing w:val="5"/>
          <w:lang w:val="es-EC"/>
        </w:rPr>
      </w:pPr>
      <w:r w:rsidRPr="00CB0124">
        <w:rPr>
          <w:rStyle w:val="go"/>
          <w:rFonts w:ascii="Arial" w:hAnsi="Arial" w:cs="Arial"/>
          <w:color w:val="auto"/>
          <w:spacing w:val="5"/>
        </w:rPr>
        <w:t>gloria.loor@espam.edu.ec</w:t>
      </w:r>
    </w:p>
    <w:p w:rsidR="0012134F" w:rsidRPr="00CB0124" w:rsidRDefault="0012134F" w:rsidP="00CB0124">
      <w:pPr>
        <w:spacing w:after="0" w:line="240" w:lineRule="auto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:rsidR="004A6CA0" w:rsidRDefault="00E41F1D" w:rsidP="00CB0124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5" w:history="1">
        <w:r w:rsidR="00CB0124" w:rsidRPr="005E3F77">
          <w:rPr>
            <w:rStyle w:val="Hipervnculo"/>
            <w:rFonts w:ascii="Arial" w:eastAsia="Arial" w:hAnsi="Arial" w:cs="Arial"/>
            <w:sz w:val="24"/>
            <w:szCs w:val="24"/>
          </w:rPr>
          <w:t>asmendoza@espam.edu.ec</w:t>
        </w:r>
      </w:hyperlink>
    </w:p>
    <w:p w:rsidR="00CB0124" w:rsidRDefault="00E41F1D" w:rsidP="00CB0124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hyperlink r:id="rId6" w:history="1">
        <w:r w:rsidR="00CB0124" w:rsidRPr="005E3F77">
          <w:rPr>
            <w:rStyle w:val="Hipervnculo"/>
            <w:rFonts w:ascii="Arial" w:eastAsia="Arial" w:hAnsi="Arial" w:cs="Arial"/>
            <w:sz w:val="24"/>
            <w:szCs w:val="24"/>
          </w:rPr>
          <w:t>qpinargote@espam.edu.ec</w:t>
        </w:r>
      </w:hyperlink>
    </w:p>
    <w:p w:rsidR="00CB0124" w:rsidRPr="004A6CA0" w:rsidRDefault="00CB0124" w:rsidP="0069552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2E01FD" w:rsidRPr="003147D0" w:rsidRDefault="002E01FD" w:rsidP="00E41F1D">
      <w:pPr>
        <w:spacing w:line="360" w:lineRule="auto"/>
        <w:ind w:left="720" w:hanging="720"/>
        <w:rPr>
          <w:rFonts w:ascii="Arial" w:eastAsia="Arial" w:hAnsi="Arial" w:cs="Arial"/>
          <w:b/>
          <w:sz w:val="24"/>
          <w:szCs w:val="28"/>
        </w:rPr>
      </w:pPr>
      <w:r w:rsidRPr="003147D0">
        <w:rPr>
          <w:rFonts w:ascii="Arial" w:eastAsia="Arial" w:hAnsi="Arial" w:cs="Arial"/>
          <w:b/>
          <w:sz w:val="24"/>
          <w:szCs w:val="28"/>
        </w:rPr>
        <w:t>RESUMEN</w:t>
      </w:r>
    </w:p>
    <w:p w:rsidR="00390525" w:rsidRPr="003147D0" w:rsidRDefault="002E01FD" w:rsidP="00695528">
      <w:pPr>
        <w:tabs>
          <w:tab w:val="left" w:pos="51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presente investigación tuvo como objetivo diseñar una propuesta de </w:t>
      </w:r>
      <w:r w:rsidRPr="00F53847">
        <w:rPr>
          <w:rFonts w:ascii="Arial" w:eastAsia="Arial" w:hAnsi="Arial" w:cs="Arial"/>
          <w:sz w:val="24"/>
          <w:szCs w:val="24"/>
        </w:rPr>
        <w:t>pliego tarifario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C3FCA">
        <w:rPr>
          <w:rFonts w:ascii="Arial" w:eastAsia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el cobro del servicio de agua potable a partir del estudio técnico realizado por la Empresa Pública Mancomunada de Agua Potable de los cantones</w:t>
      </w:r>
      <w:r>
        <w:rPr>
          <w:rStyle w:val="Refdecomentario"/>
        </w:rPr>
        <w:t xml:space="preserve"> </w:t>
      </w:r>
      <w:r w:rsidRPr="00E95502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olívar, Junín, San Vicente, Sucre y Tosagua </w:t>
      </w:r>
      <w:r w:rsidRPr="00E56FFD"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z w:val="24"/>
          <w:szCs w:val="24"/>
        </w:rPr>
        <w:t xml:space="preserve">permita la sostenibilidad de la empresa. La metodología empleada fue la teórica y analítica con </w:t>
      </w:r>
      <w:r w:rsidRPr="00710772"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z w:val="24"/>
          <w:szCs w:val="24"/>
        </w:rPr>
        <w:t xml:space="preserve">que se pudo realizar la propuesta, </w:t>
      </w:r>
      <w:r w:rsidRPr="00710772">
        <w:rPr>
          <w:rFonts w:ascii="Arial" w:eastAsia="Arial" w:hAnsi="Arial" w:cs="Arial"/>
          <w:sz w:val="24"/>
          <w:szCs w:val="24"/>
        </w:rPr>
        <w:t xml:space="preserve">se utilizó métodos como el deductivo, inductivo y </w:t>
      </w:r>
      <w:r>
        <w:rPr>
          <w:rFonts w:ascii="Arial" w:eastAsia="Arial" w:hAnsi="Arial" w:cs="Arial"/>
          <w:sz w:val="24"/>
          <w:szCs w:val="24"/>
        </w:rPr>
        <w:t>analítico</w:t>
      </w:r>
      <w:r w:rsidRPr="0071077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estos permitieron</w:t>
      </w:r>
      <w:r w:rsidRPr="00710772">
        <w:rPr>
          <w:rFonts w:ascii="Arial" w:eastAsia="Arial" w:hAnsi="Arial" w:cs="Arial"/>
          <w:sz w:val="24"/>
          <w:szCs w:val="24"/>
        </w:rPr>
        <w:t xml:space="preserve"> obtener información necesaria para cumplir </w:t>
      </w:r>
      <w:r>
        <w:rPr>
          <w:rFonts w:ascii="Arial" w:eastAsia="Arial" w:hAnsi="Arial" w:cs="Arial"/>
          <w:sz w:val="24"/>
          <w:szCs w:val="24"/>
        </w:rPr>
        <w:t>con los objetivos planteados,</w:t>
      </w:r>
      <w:r w:rsidRPr="00134B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asimismo, </w:t>
      </w:r>
      <w:r w:rsidRPr="00710772"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utilizó</w:t>
      </w:r>
      <w:r w:rsidRPr="00710772">
        <w:rPr>
          <w:rFonts w:ascii="Arial" w:eastAsia="Arial" w:hAnsi="Arial" w:cs="Arial"/>
          <w:sz w:val="24"/>
          <w:szCs w:val="24"/>
        </w:rPr>
        <w:t xml:space="preserve"> </w:t>
      </w:r>
      <w:r w:rsidR="00B56EBA">
        <w:rPr>
          <w:rFonts w:ascii="Arial" w:eastAsia="Arial" w:hAnsi="Arial" w:cs="Arial"/>
          <w:sz w:val="24"/>
          <w:szCs w:val="24"/>
        </w:rPr>
        <w:t>la herramienta de la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entrevista al responsable del estudio técnico realizado en la institución, por medio de esta se logró conocer </w:t>
      </w:r>
      <w:r w:rsidRPr="00710772">
        <w:rPr>
          <w:rFonts w:ascii="Arial" w:eastAsia="Arial" w:hAnsi="Arial" w:cs="Arial"/>
          <w:sz w:val="24"/>
          <w:szCs w:val="24"/>
        </w:rPr>
        <w:t>la situación actual de la entidad</w:t>
      </w:r>
      <w:r>
        <w:rPr>
          <w:rFonts w:ascii="Arial" w:eastAsia="Arial" w:hAnsi="Arial" w:cs="Arial"/>
          <w:sz w:val="24"/>
          <w:szCs w:val="24"/>
        </w:rPr>
        <w:t xml:space="preserve">, la problemática que tienen con sus tarifas actuales y si la institución cumple con las normas establecidas en la regulación DIR-ARCA-RG-006-2016, y la creación del mismo. Posteriormente se aplicó herramientas muy importantes tales como; categoría de consumidor, bloques de consumo, y los cargos fijos - variables el cual son elementos claves que permitieron determinar </w:t>
      </w:r>
      <w:r w:rsidRPr="00C926E6">
        <w:rPr>
          <w:rFonts w:ascii="Arial" w:eastAsia="Arial" w:hAnsi="Arial" w:cs="Arial"/>
          <w:sz w:val="24"/>
          <w:szCs w:val="24"/>
        </w:rPr>
        <w:t>el pliego tarifario</w:t>
      </w:r>
      <w:r>
        <w:rPr>
          <w:rFonts w:ascii="Arial" w:eastAsia="Arial" w:hAnsi="Arial" w:cs="Arial"/>
          <w:sz w:val="24"/>
          <w:szCs w:val="24"/>
        </w:rPr>
        <w:t xml:space="preserve"> en dicha empresa. Es muy importante el diseño de nuevas tarifas para el cobro del servicio ofrecido, las cuales deben regirse bajo la Agencia de Regulación y Control del Agua para que se lleven a cabo los procesos conforme está establecido en la ley. Por último, se presentó la nueva propuesta a los directivos de la institución para su respectiva consideración.</w:t>
      </w:r>
    </w:p>
    <w:p w:rsidR="002E01FD" w:rsidRDefault="002E01FD"/>
    <w:p w:rsidR="002E01FD" w:rsidRPr="003147D0" w:rsidRDefault="003147D0" w:rsidP="003147D0">
      <w:pPr>
        <w:spacing w:line="360" w:lineRule="auto"/>
        <w:ind w:left="720" w:hanging="720"/>
        <w:rPr>
          <w:rFonts w:ascii="Arial" w:eastAsia="Arial" w:hAnsi="Arial" w:cs="Arial"/>
          <w:b/>
          <w:sz w:val="24"/>
          <w:szCs w:val="28"/>
        </w:rPr>
      </w:pPr>
      <w:r w:rsidRPr="003147D0">
        <w:rPr>
          <w:rFonts w:ascii="Arial" w:eastAsia="Arial" w:hAnsi="Arial" w:cs="Arial"/>
          <w:b/>
          <w:sz w:val="24"/>
          <w:szCs w:val="28"/>
        </w:rPr>
        <w:t>Palabras Clave</w:t>
      </w:r>
      <w:r>
        <w:rPr>
          <w:rFonts w:ascii="Arial" w:eastAsia="Arial" w:hAnsi="Arial" w:cs="Arial"/>
          <w:b/>
          <w:sz w:val="24"/>
          <w:szCs w:val="28"/>
        </w:rPr>
        <w:t xml:space="preserve">: </w:t>
      </w:r>
      <w:r w:rsidR="002E01FD">
        <w:rPr>
          <w:rFonts w:ascii="Arial" w:eastAsia="Arial" w:hAnsi="Arial" w:cs="Arial"/>
          <w:sz w:val="24"/>
          <w:szCs w:val="24"/>
        </w:rPr>
        <w:t>Eficacia, gestión pública, costos</w:t>
      </w:r>
      <w:r w:rsidR="002E01FD">
        <w:rPr>
          <w:rFonts w:ascii="Arial" w:hAnsi="Arial" w:cs="Arial"/>
          <w:sz w:val="24"/>
        </w:rPr>
        <w:t xml:space="preserve">, sostenibilidad. </w:t>
      </w:r>
      <w:r w:rsidR="002E01FD" w:rsidRPr="00ED4073">
        <w:rPr>
          <w:rFonts w:ascii="Arial" w:hAnsi="Arial" w:cs="Arial"/>
          <w:sz w:val="24"/>
        </w:rPr>
        <w:t xml:space="preserve"> </w:t>
      </w:r>
      <w:r w:rsidR="002E01FD">
        <w:rPr>
          <w:rFonts w:ascii="Arial" w:eastAsia="Arial" w:hAnsi="Arial" w:cs="Arial"/>
          <w:sz w:val="24"/>
          <w:szCs w:val="24"/>
        </w:rPr>
        <w:t xml:space="preserve"> </w:t>
      </w:r>
    </w:p>
    <w:p w:rsidR="002602FC" w:rsidRDefault="002602FC">
      <w:pPr>
        <w:rPr>
          <w:rFonts w:ascii="Arial" w:eastAsia="Arial" w:hAnsi="Arial" w:cs="Arial"/>
          <w:sz w:val="24"/>
          <w:szCs w:val="24"/>
        </w:rPr>
      </w:pPr>
    </w:p>
    <w:p w:rsidR="00695528" w:rsidRDefault="00695528">
      <w:pPr>
        <w:rPr>
          <w:rFonts w:ascii="Arial" w:eastAsia="Arial" w:hAnsi="Arial" w:cs="Arial"/>
          <w:sz w:val="24"/>
          <w:szCs w:val="24"/>
        </w:rPr>
      </w:pPr>
    </w:p>
    <w:sectPr w:rsidR="00695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802"/>
    <w:multiLevelType w:val="multilevel"/>
    <w:tmpl w:val="A934C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5733AB"/>
    <w:multiLevelType w:val="multilevel"/>
    <w:tmpl w:val="C0FCF4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26864"/>
    <w:multiLevelType w:val="multilevel"/>
    <w:tmpl w:val="2104E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9048E8"/>
    <w:multiLevelType w:val="hybridMultilevel"/>
    <w:tmpl w:val="4810F7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CB4"/>
    <w:multiLevelType w:val="multilevel"/>
    <w:tmpl w:val="A238B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753B"/>
    <w:multiLevelType w:val="multilevel"/>
    <w:tmpl w:val="794CF3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FD"/>
    <w:rsid w:val="0012134F"/>
    <w:rsid w:val="0017330C"/>
    <w:rsid w:val="001831AA"/>
    <w:rsid w:val="001C71B4"/>
    <w:rsid w:val="002378A0"/>
    <w:rsid w:val="002602FC"/>
    <w:rsid w:val="002E01FD"/>
    <w:rsid w:val="003147D0"/>
    <w:rsid w:val="00390525"/>
    <w:rsid w:val="004A6CA0"/>
    <w:rsid w:val="004E4848"/>
    <w:rsid w:val="0062759F"/>
    <w:rsid w:val="006476A0"/>
    <w:rsid w:val="006766DE"/>
    <w:rsid w:val="0067736C"/>
    <w:rsid w:val="00695528"/>
    <w:rsid w:val="006D661F"/>
    <w:rsid w:val="006F68A4"/>
    <w:rsid w:val="0096082F"/>
    <w:rsid w:val="009C6DDD"/>
    <w:rsid w:val="00B00C54"/>
    <w:rsid w:val="00B56EBA"/>
    <w:rsid w:val="00B677A9"/>
    <w:rsid w:val="00C53085"/>
    <w:rsid w:val="00C65788"/>
    <w:rsid w:val="00C71C1C"/>
    <w:rsid w:val="00CB0124"/>
    <w:rsid w:val="00CC3A88"/>
    <w:rsid w:val="00D07E05"/>
    <w:rsid w:val="00DA09EE"/>
    <w:rsid w:val="00DB5A13"/>
    <w:rsid w:val="00E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73C9-F8D7-49C1-9CE4-86747A3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01FD"/>
    <w:rPr>
      <w:rFonts w:ascii="Calibri" w:eastAsia="Calibri" w:hAnsi="Calibri" w:cs="Calibri"/>
      <w:lang w:val="es-MX" w:eastAsia="es-EC"/>
    </w:rPr>
  </w:style>
  <w:style w:type="paragraph" w:styleId="Ttulo2">
    <w:name w:val="heading 2"/>
    <w:basedOn w:val="Normal"/>
    <w:next w:val="Normal"/>
    <w:link w:val="Ttulo2Car"/>
    <w:rsid w:val="002602FC"/>
    <w:pPr>
      <w:keepNext/>
      <w:keepLines/>
      <w:spacing w:before="360" w:after="240" w:line="240" w:lineRule="auto"/>
      <w:ind w:left="360" w:firstLine="360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7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-nfasis32">
    <w:name w:val="Sombreado claro - Énfasis 32"/>
    <w:basedOn w:val="Tablanormal"/>
    <w:next w:val="Sombreadoclaro-nfasis3"/>
    <w:uiPriority w:val="60"/>
    <w:rsid w:val="006F68A4"/>
    <w:pPr>
      <w:spacing w:after="0" w:line="240" w:lineRule="auto"/>
    </w:pPr>
    <w:rPr>
      <w:color w:val="A6A6A6" w:themeColor="background1" w:themeShade="A6"/>
    </w:rPr>
    <w:tblPr>
      <w:tblStyleRowBandSize w:val="1"/>
      <w:tblStyleColBandSize w:val="1"/>
      <w:tblInd w:w="0" w:type="dxa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F68A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E01F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602FC"/>
    <w:rPr>
      <w:rFonts w:ascii="Arial" w:eastAsia="Arial" w:hAnsi="Arial" w:cs="Arial"/>
      <w:b/>
      <w:sz w:val="28"/>
      <w:szCs w:val="28"/>
      <w:lang w:val="es-MX" w:eastAsia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275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1C71B4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530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1C1C"/>
    <w:rPr>
      <w:color w:val="0563C1" w:themeColor="hyperlink"/>
      <w:u w:val="single"/>
    </w:rPr>
  </w:style>
  <w:style w:type="character" w:customStyle="1" w:styleId="go">
    <w:name w:val="go"/>
    <w:basedOn w:val="Fuentedeprrafopredeter"/>
    <w:rsid w:val="00CB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pinargote@espam.edu.ec" TargetMode="External"/><Relationship Id="rId5" Type="http://schemas.openxmlformats.org/officeDocument/2006/relationships/hyperlink" Target="mailto:asmendoza@espam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DIOS cambia vidas</cp:lastModifiedBy>
  <cp:revision>6</cp:revision>
  <dcterms:created xsi:type="dcterms:W3CDTF">2021-10-18T02:04:00Z</dcterms:created>
  <dcterms:modified xsi:type="dcterms:W3CDTF">2022-02-09T21:52:00Z</dcterms:modified>
</cp:coreProperties>
</file>