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59EA6" w14:textId="77777777" w:rsidR="00B957D1" w:rsidRPr="008C2234" w:rsidRDefault="00B957D1" w:rsidP="00B957D1">
      <w:pPr>
        <w:jc w:val="center"/>
        <w:rPr>
          <w:b/>
          <w:bCs/>
          <w:lang w:val="es-ES"/>
        </w:rPr>
      </w:pPr>
      <w:bookmarkStart w:id="0" w:name="_Hlk82261963"/>
      <w:bookmarkEnd w:id="0"/>
      <w:r>
        <w:rPr>
          <w:b/>
          <w:bCs/>
          <w:lang w:val="es-ES"/>
        </w:rPr>
        <w:t xml:space="preserve">IMPACTO DE </w:t>
      </w:r>
      <w:r w:rsidRPr="008C2234">
        <w:rPr>
          <w:b/>
          <w:bCs/>
          <w:lang w:val="es-ES"/>
        </w:rPr>
        <w:t xml:space="preserve">LA </w:t>
      </w:r>
      <w:r w:rsidRPr="00B36081">
        <w:rPr>
          <w:b/>
          <w:bCs/>
          <w:lang w:val="es-ES"/>
        </w:rPr>
        <w:t>TELEMÁTICA</w:t>
      </w:r>
      <w:r w:rsidRPr="008C2234">
        <w:rPr>
          <w:b/>
          <w:bCs/>
          <w:lang w:val="es-ES"/>
        </w:rPr>
        <w:t xml:space="preserve"> </w:t>
      </w:r>
      <w:r>
        <w:rPr>
          <w:b/>
          <w:bCs/>
          <w:lang w:val="es-ES"/>
        </w:rPr>
        <w:t>EN</w:t>
      </w:r>
      <w:r w:rsidRPr="008C2234">
        <w:rPr>
          <w:b/>
          <w:bCs/>
          <w:lang w:val="es-ES"/>
        </w:rPr>
        <w:t xml:space="preserve"> LAS CERTIFICACIONES DE LOS SERVIDORES PÚBLICOS: UN ANÁLISIS</w:t>
      </w:r>
    </w:p>
    <w:p w14:paraId="42442829" w14:textId="77777777" w:rsidR="00B957D1" w:rsidRPr="00C60009" w:rsidRDefault="00B957D1" w:rsidP="00B957D1">
      <w:pPr>
        <w:jc w:val="center"/>
        <w:rPr>
          <w:lang w:val="es-ES"/>
        </w:rPr>
      </w:pPr>
      <w:r>
        <w:rPr>
          <w:lang w:val="es-ES"/>
        </w:rPr>
        <w:t>Quinche Viviana Pinargote Álava</w:t>
      </w:r>
      <w:r>
        <w:rPr>
          <w:vertAlign w:val="superscript"/>
          <w:lang w:val="es-ES"/>
        </w:rPr>
        <w:t>1</w:t>
      </w:r>
      <w:r>
        <w:rPr>
          <w:lang w:val="es-ES"/>
        </w:rPr>
        <w:t xml:space="preserve">, </w:t>
      </w:r>
      <w:r w:rsidRPr="008E5401">
        <w:rPr>
          <w:lang w:val="es-ES"/>
        </w:rPr>
        <w:t>Yandry</w:t>
      </w:r>
      <w:r>
        <w:rPr>
          <w:lang w:val="es-ES"/>
        </w:rPr>
        <w:t xml:space="preserve"> Felipe Mantuano </w:t>
      </w:r>
      <w:r w:rsidRPr="00741602">
        <w:rPr>
          <w:lang w:val="es-ES"/>
        </w:rPr>
        <w:t>Zambrano</w:t>
      </w:r>
      <w:r w:rsidRPr="00741602">
        <w:rPr>
          <w:vertAlign w:val="superscript"/>
          <w:lang w:val="es-ES"/>
        </w:rPr>
        <w:t>2</w:t>
      </w:r>
      <w:r>
        <w:rPr>
          <w:lang w:val="es-ES"/>
        </w:rPr>
        <w:t xml:space="preserve">, </w:t>
      </w:r>
      <w:r w:rsidRPr="00741602">
        <w:rPr>
          <w:lang w:val="es-ES"/>
        </w:rPr>
        <w:t>Fultón</w:t>
      </w:r>
      <w:r>
        <w:rPr>
          <w:lang w:val="es-ES"/>
        </w:rPr>
        <w:t xml:space="preserve"> David Patiño Preciado</w:t>
      </w:r>
      <w:r>
        <w:rPr>
          <w:vertAlign w:val="superscript"/>
          <w:lang w:val="es-ES"/>
        </w:rPr>
        <w:t>1</w:t>
      </w:r>
      <w:r>
        <w:rPr>
          <w:lang w:val="es-ES"/>
        </w:rPr>
        <w:t xml:space="preserve">, Cruz Alexandra Pinargote </w:t>
      </w:r>
      <w:r w:rsidRPr="008E5401">
        <w:rPr>
          <w:lang w:val="es-ES"/>
        </w:rPr>
        <w:t>Zambrano</w:t>
      </w:r>
      <w:r>
        <w:rPr>
          <w:vertAlign w:val="superscript"/>
          <w:lang w:val="es-ES"/>
        </w:rPr>
        <w:t>1</w:t>
      </w:r>
    </w:p>
    <w:p w14:paraId="4BC58F46" w14:textId="77777777" w:rsidR="00B957D1" w:rsidRDefault="00B957D1" w:rsidP="00B957D1">
      <w:pPr>
        <w:jc w:val="center"/>
        <w:rPr>
          <w:lang w:val="es-ES"/>
        </w:rPr>
      </w:pPr>
      <w:r w:rsidRPr="00741602">
        <w:rPr>
          <w:vertAlign w:val="superscript"/>
          <w:lang w:val="es-ES"/>
        </w:rPr>
        <w:t>1</w:t>
      </w:r>
      <w:r>
        <w:rPr>
          <w:lang w:val="es-ES"/>
        </w:rPr>
        <w:t>Escuela Superior Politécnica Agropecuaria de Manabí Manuel Félix López</w:t>
      </w:r>
    </w:p>
    <w:p w14:paraId="75165D39" w14:textId="77777777" w:rsidR="00B957D1" w:rsidRDefault="00B957D1" w:rsidP="00B957D1">
      <w:pPr>
        <w:jc w:val="center"/>
        <w:rPr>
          <w:lang w:val="es-ES"/>
        </w:rPr>
      </w:pPr>
      <w:r>
        <w:rPr>
          <w:vertAlign w:val="superscript"/>
          <w:lang w:val="es-ES"/>
        </w:rPr>
        <w:t>2</w:t>
      </w:r>
      <w:r>
        <w:rPr>
          <w:lang w:val="es-ES"/>
        </w:rPr>
        <w:t>Consejo Provincial de Manabí</w:t>
      </w:r>
    </w:p>
    <w:p w14:paraId="76034A04" w14:textId="2F453350" w:rsidR="00B957D1" w:rsidRPr="004B2363" w:rsidRDefault="00980065" w:rsidP="00B957D1">
      <w:pPr>
        <w:jc w:val="center"/>
      </w:pPr>
      <w:r w:rsidRPr="00980065">
        <w:t>qpinargote@espam.edu.ec</w:t>
      </w:r>
      <w:r w:rsidR="00B957D1" w:rsidRPr="004B2363">
        <w:t>;</w:t>
      </w:r>
      <w:r>
        <w:t xml:space="preserve"> </w:t>
      </w:r>
      <w:r w:rsidRPr="004B2363">
        <w:t>yandrymantuano@gmail.com</w:t>
      </w:r>
      <w:r>
        <w:t>;</w:t>
      </w:r>
      <w:r w:rsidR="00B957D1" w:rsidRPr="004B2363">
        <w:t xml:space="preserve"> fulton.patino</w:t>
      </w:r>
      <w:r w:rsidR="00B957D1">
        <w:t xml:space="preserve">p@espam.edu.ec; </w:t>
      </w:r>
      <w:r w:rsidR="00B957D1" w:rsidRPr="004B2363">
        <w:t>cruz.pinargote@espam.edu.ec</w:t>
      </w:r>
    </w:p>
    <w:p w14:paraId="773B7476" w14:textId="77777777" w:rsidR="00B957D1" w:rsidRDefault="00B957D1" w:rsidP="008E04C4">
      <w:pPr>
        <w:jc w:val="left"/>
        <w:rPr>
          <w:b/>
          <w:bCs/>
          <w:lang w:val="es-ES"/>
        </w:rPr>
      </w:pPr>
      <w:r>
        <w:rPr>
          <w:b/>
          <w:bCs/>
          <w:lang w:val="es-ES"/>
        </w:rPr>
        <w:t>RESUMEN</w:t>
      </w:r>
    </w:p>
    <w:p w14:paraId="3EEFBA32" w14:textId="77777777" w:rsidR="00B957D1" w:rsidRDefault="00B957D1" w:rsidP="005B04D9">
      <w:pPr>
        <w:spacing w:line="276" w:lineRule="auto"/>
        <w:rPr>
          <w:lang w:val="es-ES"/>
        </w:rPr>
      </w:pPr>
      <w:r>
        <w:rPr>
          <w:lang w:val="es-ES"/>
        </w:rPr>
        <w:t xml:space="preserve">La creciente competitividad en el ámbito laboral, así como el entorno cambiante al que se exponen los servidores públicos, plantea desafíos que pueden sintetizarse en el aprendizaje constante para mantener niveles de competencia óptimos en el desempeño profesional. El avance de las telecomunicaciones facilita el acceso a toda clase de formación profesional mediante certificaciones en eventos virtuales. Por tanto, </w:t>
      </w:r>
      <w:bookmarkStart w:id="1" w:name="_Hlk82165730"/>
      <w:r>
        <w:rPr>
          <w:lang w:val="es-ES"/>
        </w:rPr>
        <w:t xml:space="preserve">el objetivo de esta investigación fue analizar el impacto de la </w:t>
      </w:r>
      <w:r w:rsidRPr="00982369">
        <w:rPr>
          <w:lang w:val="es-ES"/>
        </w:rPr>
        <w:t xml:space="preserve">telemática </w:t>
      </w:r>
      <w:r>
        <w:rPr>
          <w:lang w:val="es-ES"/>
        </w:rPr>
        <w:t>en</w:t>
      </w:r>
      <w:r w:rsidRPr="00982369">
        <w:rPr>
          <w:lang w:val="es-ES"/>
        </w:rPr>
        <w:t xml:space="preserve"> las certificaciones de los servidores públicos</w:t>
      </w:r>
      <w:r>
        <w:rPr>
          <w:lang w:val="es-ES"/>
        </w:rPr>
        <w:t xml:space="preserve">. </w:t>
      </w:r>
      <w:bookmarkEnd w:id="1"/>
      <w:r>
        <w:rPr>
          <w:lang w:val="es-ES"/>
        </w:rPr>
        <w:t xml:space="preserve">Mediante la recopilación de datos de carácter público, se presenta un análisis estadístico del crecimiento exponencial que ha presentado la certificación de servidores públicos en el Sistema Nacional de Contratación Pública empleando el programa Excel 2016. Como resultado, las </w:t>
      </w:r>
      <w:r w:rsidRPr="00F2412E">
        <w:rPr>
          <w:lang w:val="es-ES"/>
        </w:rPr>
        <w:t>Certificaciones de Competencias en Contratación Pública</w:t>
      </w:r>
      <w:r w:rsidRPr="002512F3">
        <w:rPr>
          <w:i/>
          <w:iCs/>
          <w:lang w:val="es-ES"/>
        </w:rPr>
        <w:t xml:space="preserve"> </w:t>
      </w:r>
      <w:r>
        <w:rPr>
          <w:lang w:val="es-ES"/>
        </w:rPr>
        <w:t xml:space="preserve">han presentado un cambio notable, pues en 2018 de los </w:t>
      </w:r>
      <w:r w:rsidRPr="00F2412E">
        <w:rPr>
          <w:lang w:val="es-ES"/>
        </w:rPr>
        <w:t>3</w:t>
      </w:r>
      <w:r>
        <w:rPr>
          <w:lang w:val="es-ES"/>
        </w:rPr>
        <w:t>.</w:t>
      </w:r>
      <w:r w:rsidRPr="00F2412E">
        <w:rPr>
          <w:lang w:val="es-ES"/>
        </w:rPr>
        <w:t xml:space="preserve">146 funcionarios evaluados, </w:t>
      </w:r>
      <w:r>
        <w:rPr>
          <w:lang w:val="es-ES"/>
        </w:rPr>
        <w:t xml:space="preserve">sólo un 13% logró certificarse; mientras que en lo que va del 2021 el sistema ha registrado </w:t>
      </w:r>
      <w:r w:rsidRPr="00F2412E">
        <w:rPr>
          <w:lang w:val="es-ES"/>
        </w:rPr>
        <w:t>40</w:t>
      </w:r>
      <w:r>
        <w:rPr>
          <w:lang w:val="es-ES"/>
        </w:rPr>
        <w:t>.000 participantes de los cuales el 90,52%</w:t>
      </w:r>
      <w:r w:rsidRPr="00F2412E">
        <w:rPr>
          <w:lang w:val="es-ES"/>
        </w:rPr>
        <w:t xml:space="preserve"> </w:t>
      </w:r>
      <w:r>
        <w:rPr>
          <w:lang w:val="es-ES"/>
        </w:rPr>
        <w:t>completaron el seminario, cifras que reflejan un aumento del 77,52% en la aprobación del curso; certificando a servidores públicos desde localidades remotas pertenecientes a las regiones Costa, Sierra y Amazonía. Además, la firma electrónica, como requisito para acceder a estos seminarios,</w:t>
      </w:r>
      <w:r w:rsidRPr="004B2363">
        <w:rPr>
          <w:lang w:val="es-ES"/>
        </w:rPr>
        <w:t xml:space="preserve"> </w:t>
      </w:r>
      <w:r>
        <w:rPr>
          <w:lang w:val="es-ES"/>
        </w:rPr>
        <w:t>ha presentado un aumento de más del 1.000% desde julio de 2018 hasta julio de 2021.</w:t>
      </w:r>
      <w:bookmarkStart w:id="2" w:name="_Hlk82266638"/>
      <w:r>
        <w:rPr>
          <w:lang w:val="es-ES"/>
        </w:rPr>
        <w:t xml:space="preserve"> En conclusión, la telemática en tiempos de pandemia ha propiciado un aumento vertiginoso en las certificaciones de los servidores públicos.</w:t>
      </w:r>
      <w:bookmarkEnd w:id="2"/>
    </w:p>
    <w:p w14:paraId="0DC6D63A" w14:textId="77777777" w:rsidR="00B957D1" w:rsidRDefault="00B957D1" w:rsidP="00B957D1">
      <w:pPr>
        <w:rPr>
          <w:lang w:val="es-ES"/>
        </w:rPr>
      </w:pPr>
      <w:r w:rsidRPr="0068373A">
        <w:rPr>
          <w:b/>
          <w:bCs/>
          <w:lang w:val="es-ES"/>
        </w:rPr>
        <w:t>Palabras clave:</w:t>
      </w:r>
      <w:r>
        <w:rPr>
          <w:b/>
          <w:bCs/>
          <w:lang w:val="es-ES"/>
        </w:rPr>
        <w:t xml:space="preserve"> </w:t>
      </w:r>
      <w:r>
        <w:rPr>
          <w:lang w:val="es-ES"/>
        </w:rPr>
        <w:t xml:space="preserve">Telemática, certificaciones, contratación pública. </w:t>
      </w:r>
    </w:p>
    <w:p w14:paraId="1F842ACB" w14:textId="77777777" w:rsidR="005B04D9" w:rsidRDefault="005B04D9" w:rsidP="00B957D1">
      <w:pPr>
        <w:rPr>
          <w:lang w:val="es-ES"/>
        </w:rPr>
      </w:pPr>
    </w:p>
    <w:p w14:paraId="2C6A75E7" w14:textId="77777777" w:rsidR="005B04D9" w:rsidRDefault="005B04D9" w:rsidP="00B957D1">
      <w:pPr>
        <w:rPr>
          <w:lang w:val="es-ES"/>
        </w:rPr>
      </w:pPr>
    </w:p>
    <w:p w14:paraId="0B39F5B0" w14:textId="77777777" w:rsidR="005B04D9" w:rsidRDefault="005B04D9" w:rsidP="00B957D1">
      <w:pPr>
        <w:rPr>
          <w:lang w:val="es-ES"/>
        </w:rPr>
      </w:pPr>
    </w:p>
    <w:p w14:paraId="49932173" w14:textId="77777777" w:rsidR="005B04D9" w:rsidRPr="00012E5E" w:rsidRDefault="005B04D9" w:rsidP="00B957D1">
      <w:pPr>
        <w:rPr>
          <w:lang w:val="es-ES"/>
        </w:rPr>
      </w:pPr>
    </w:p>
    <w:p w14:paraId="231C9230" w14:textId="6BDF50EC" w:rsidR="0068373A" w:rsidRDefault="000F6E14" w:rsidP="008E04C4">
      <w:pPr>
        <w:jc w:val="left"/>
        <w:rPr>
          <w:b/>
          <w:bCs/>
          <w:lang w:val="es-ES"/>
        </w:rPr>
      </w:pPr>
      <w:r>
        <w:rPr>
          <w:b/>
          <w:bCs/>
          <w:lang w:val="es-ES"/>
        </w:rPr>
        <w:t>INTRODUCCIÓN</w:t>
      </w:r>
    </w:p>
    <w:p w14:paraId="427DDF03" w14:textId="3AFDDC6A" w:rsidR="000F6E14" w:rsidRDefault="00D5281E" w:rsidP="000F6E14">
      <w:pPr>
        <w:rPr>
          <w:lang w:val="es-ES"/>
        </w:rPr>
      </w:pPr>
      <w:r>
        <w:rPr>
          <w:lang w:val="es-ES"/>
        </w:rPr>
        <w:t>La telemática</w:t>
      </w:r>
      <w:r w:rsidRPr="00D5281E">
        <w:rPr>
          <w:lang w:val="es-ES"/>
        </w:rPr>
        <w:t xml:space="preserve"> facilita la flexibilidad y</w:t>
      </w:r>
      <w:r>
        <w:rPr>
          <w:lang w:val="es-ES"/>
        </w:rPr>
        <w:t xml:space="preserve"> brinda</w:t>
      </w:r>
      <w:r w:rsidRPr="00D5281E">
        <w:rPr>
          <w:lang w:val="es-ES"/>
        </w:rPr>
        <w:t xml:space="preserve"> </w:t>
      </w:r>
      <w:r>
        <w:rPr>
          <w:lang w:val="es-ES"/>
        </w:rPr>
        <w:t xml:space="preserve">un sin número de posibilidades para capacitarse virtualmente, </w:t>
      </w:r>
      <w:r w:rsidRPr="00D5281E">
        <w:rPr>
          <w:lang w:val="es-ES"/>
        </w:rPr>
        <w:t>al tiempo que reduce los impactos ambientales</w:t>
      </w:r>
      <w:r>
        <w:rPr>
          <w:lang w:val="es-ES"/>
        </w:rPr>
        <w:t xml:space="preserve"> y económicos</w:t>
      </w:r>
      <w:r w:rsidRPr="00D5281E">
        <w:rPr>
          <w:lang w:val="es-ES"/>
        </w:rPr>
        <w:t xml:space="preserve"> de la movilida</w:t>
      </w:r>
      <w:r>
        <w:rPr>
          <w:lang w:val="es-ES"/>
        </w:rPr>
        <w:t xml:space="preserve">d; a nivel mundial la pandemia del COVID-19 ha acelerado el uso de dispositivos móviles para acceder a formación profesional </w:t>
      </w:r>
      <w:bookmarkStart w:id="3" w:name="_Hlk82263260"/>
      <w:r>
        <w:rPr>
          <w:lang w:val="es-ES"/>
        </w:rPr>
        <w:t>(</w:t>
      </w:r>
      <w:r w:rsidRPr="00D5281E">
        <w:rPr>
          <w:lang w:val="es-ES"/>
        </w:rPr>
        <w:t>Belzunegui</w:t>
      </w:r>
      <w:r>
        <w:rPr>
          <w:lang w:val="es-ES"/>
        </w:rPr>
        <w:t xml:space="preserve"> y</w:t>
      </w:r>
      <w:r w:rsidRPr="00D5281E">
        <w:rPr>
          <w:lang w:val="es-ES"/>
        </w:rPr>
        <w:t xml:space="preserve"> Garcés</w:t>
      </w:r>
      <w:r>
        <w:rPr>
          <w:lang w:val="es-ES"/>
        </w:rPr>
        <w:t>, 2020).</w:t>
      </w:r>
      <w:r w:rsidR="0078144F">
        <w:rPr>
          <w:lang w:val="es-ES"/>
        </w:rPr>
        <w:t xml:space="preserve"> </w:t>
      </w:r>
      <w:bookmarkEnd w:id="3"/>
      <w:r w:rsidR="00B427FE">
        <w:rPr>
          <w:lang w:val="es-ES"/>
        </w:rPr>
        <w:t>Bajo esta perspectiva</w:t>
      </w:r>
      <w:r w:rsidR="0078144F">
        <w:rPr>
          <w:lang w:val="es-ES"/>
        </w:rPr>
        <w:t xml:space="preserve">, </w:t>
      </w:r>
      <w:r w:rsidR="00B427FE">
        <w:rPr>
          <w:lang w:val="es-ES"/>
        </w:rPr>
        <w:t>los evento</w:t>
      </w:r>
      <w:r w:rsidR="0078144F">
        <w:rPr>
          <w:lang w:val="es-ES"/>
        </w:rPr>
        <w:t xml:space="preserve">s virtuales han </w:t>
      </w:r>
      <w:r w:rsidR="0078144F" w:rsidRPr="0078144F">
        <w:rPr>
          <w:lang w:val="es-ES"/>
        </w:rPr>
        <w:t xml:space="preserve">experimentado un repunte </w:t>
      </w:r>
      <w:r w:rsidR="009C42FB" w:rsidRPr="0078144F">
        <w:rPr>
          <w:lang w:val="es-ES"/>
        </w:rPr>
        <w:t>inesperado</w:t>
      </w:r>
      <w:r w:rsidR="0078144F" w:rsidRPr="0078144F">
        <w:rPr>
          <w:lang w:val="es-ES"/>
        </w:rPr>
        <w:t xml:space="preserve">, </w:t>
      </w:r>
      <w:r w:rsidR="00B427FE">
        <w:rPr>
          <w:lang w:val="es-ES"/>
        </w:rPr>
        <w:t xml:space="preserve">por ejemplo, un estudio encontró que </w:t>
      </w:r>
      <w:r w:rsidR="00B427FE" w:rsidRPr="00B427FE">
        <w:rPr>
          <w:lang w:val="es-ES"/>
        </w:rPr>
        <w:t xml:space="preserve">entre noviembre de 2020 y marzo de 2021 el 75% de canadienses participaron en diversas </w:t>
      </w:r>
      <w:r w:rsidR="00B427FE">
        <w:rPr>
          <w:lang w:val="es-ES"/>
        </w:rPr>
        <w:t>capacitaciones virtuales</w:t>
      </w:r>
      <w:r w:rsidR="00B427FE" w:rsidRPr="00B427FE">
        <w:rPr>
          <w:lang w:val="es-ES"/>
        </w:rPr>
        <w:t xml:space="preserve"> con más frecuencia desde el inicio de la pandemia</w:t>
      </w:r>
      <w:r w:rsidR="00B427FE">
        <w:rPr>
          <w:lang w:val="es-ES"/>
        </w:rPr>
        <w:t xml:space="preserve"> (</w:t>
      </w:r>
      <w:r w:rsidR="00B427FE" w:rsidRPr="00B427FE">
        <w:rPr>
          <w:lang w:val="es-ES"/>
        </w:rPr>
        <w:t>Bilodeau</w:t>
      </w:r>
      <w:r w:rsidR="00B427FE">
        <w:rPr>
          <w:lang w:val="es-ES"/>
        </w:rPr>
        <w:t xml:space="preserve"> et al., 2021)</w:t>
      </w:r>
      <w:r w:rsidR="00B427FE" w:rsidRPr="00B427FE">
        <w:rPr>
          <w:lang w:val="es-ES"/>
        </w:rPr>
        <w:t>.</w:t>
      </w:r>
    </w:p>
    <w:p w14:paraId="4BD13EB4" w14:textId="7EC9CBEB" w:rsidR="002B514A" w:rsidRDefault="00BE1191" w:rsidP="000F6E14">
      <w:pPr>
        <w:rPr>
          <w:lang w:val="es-ES"/>
        </w:rPr>
      </w:pPr>
      <w:r>
        <w:rPr>
          <w:lang w:val="es-ES"/>
        </w:rPr>
        <w:t xml:space="preserve">En América Latina, </w:t>
      </w:r>
      <w:r w:rsidR="007F1E40">
        <w:rPr>
          <w:lang w:val="es-ES"/>
        </w:rPr>
        <w:t>entidades como el B</w:t>
      </w:r>
      <w:r w:rsidRPr="00BE1191">
        <w:rPr>
          <w:lang w:val="es-ES"/>
        </w:rPr>
        <w:t xml:space="preserve">anco de </w:t>
      </w:r>
      <w:r w:rsidR="007F1E40">
        <w:rPr>
          <w:lang w:val="es-ES"/>
        </w:rPr>
        <w:t>D</w:t>
      </w:r>
      <w:r w:rsidRPr="00BE1191">
        <w:rPr>
          <w:lang w:val="es-ES"/>
        </w:rPr>
        <w:t xml:space="preserve">esarrollo de América Latina, </w:t>
      </w:r>
      <w:r w:rsidR="007F1E40">
        <w:rPr>
          <w:lang w:val="es-ES"/>
        </w:rPr>
        <w:t xml:space="preserve">y la </w:t>
      </w:r>
      <w:r w:rsidR="007F1E40" w:rsidRPr="007F1E40">
        <w:rPr>
          <w:lang w:val="es-ES"/>
        </w:rPr>
        <w:t>Comisión Económica para América Latina y el Caribe</w:t>
      </w:r>
      <w:r w:rsidR="007F1E40">
        <w:rPr>
          <w:lang w:val="es-ES"/>
        </w:rPr>
        <w:t xml:space="preserve"> (CEPAL)</w:t>
      </w:r>
      <w:r w:rsidR="007F1E40" w:rsidRPr="007F1E40">
        <w:rPr>
          <w:lang w:val="es-ES"/>
        </w:rPr>
        <w:t xml:space="preserve"> </w:t>
      </w:r>
      <w:r w:rsidR="007F1E40">
        <w:rPr>
          <w:lang w:val="es-ES"/>
        </w:rPr>
        <w:t>aumentaron</w:t>
      </w:r>
      <w:r w:rsidRPr="00BE1191">
        <w:rPr>
          <w:lang w:val="es-ES"/>
        </w:rPr>
        <w:t xml:space="preserve"> sus cursos gratuitos en línea a fin de </w:t>
      </w:r>
      <w:r w:rsidR="007F1E40">
        <w:rPr>
          <w:lang w:val="es-ES"/>
        </w:rPr>
        <w:t xml:space="preserve">mejorar las cualificaciones de los profesionales y mantener el acceso a la formación constante respetando los lineamientos de distanciamiento social y bioseguridad de la población. </w:t>
      </w:r>
      <w:r w:rsidR="002B514A">
        <w:rPr>
          <w:lang w:val="es-ES"/>
        </w:rPr>
        <w:t>Así mismo, las entidades gubernamentales han acelerado</w:t>
      </w:r>
      <w:r w:rsidR="00BA4AA9">
        <w:rPr>
          <w:lang w:val="es-ES"/>
        </w:rPr>
        <w:t xml:space="preserve"> </w:t>
      </w:r>
      <w:r w:rsidR="009C42FB">
        <w:rPr>
          <w:lang w:val="es-ES"/>
        </w:rPr>
        <w:t xml:space="preserve">la </w:t>
      </w:r>
      <w:r w:rsidR="002B514A">
        <w:rPr>
          <w:lang w:val="es-ES"/>
        </w:rPr>
        <w:t xml:space="preserve">transición en la modalidad de </w:t>
      </w:r>
      <w:r w:rsidR="00BA4AA9">
        <w:rPr>
          <w:lang w:val="es-ES"/>
        </w:rPr>
        <w:t>las capacitaciones de los servidores públicos.</w:t>
      </w:r>
    </w:p>
    <w:p w14:paraId="1814A545" w14:textId="21A5D175" w:rsidR="000F6E14" w:rsidRDefault="00071825" w:rsidP="00BA4AA9">
      <w:pPr>
        <w:rPr>
          <w:i/>
          <w:iCs/>
          <w:lang w:val="es-ES"/>
        </w:rPr>
      </w:pPr>
      <w:r>
        <w:rPr>
          <w:lang w:val="es-ES"/>
        </w:rPr>
        <w:t xml:space="preserve">En el caso de Ecuador, </w:t>
      </w:r>
      <w:r w:rsidR="000F54F5">
        <w:rPr>
          <w:lang w:val="es-ES"/>
        </w:rPr>
        <w:t>el gobierno ha tomado la transformación digital como un desafío que fomenta la modernización para asegurar una mejor calidad y efectividad en la gestión de servicios públicos</w:t>
      </w:r>
      <w:r w:rsidR="00B23005">
        <w:rPr>
          <w:lang w:val="es-ES"/>
        </w:rPr>
        <w:t xml:space="preserve"> (Arellano, 2020)</w:t>
      </w:r>
      <w:r w:rsidR="000F54F5">
        <w:rPr>
          <w:lang w:val="es-ES"/>
        </w:rPr>
        <w:t xml:space="preserve">. </w:t>
      </w:r>
      <w:r w:rsidR="00B16A67">
        <w:rPr>
          <w:lang w:val="es-ES"/>
        </w:rPr>
        <w:t>En el ámbito legal, el Código Orgánico Administrativo destaca en sus artículos 90 al 97 todo lo referente al gobierno electrónico</w:t>
      </w:r>
      <w:r w:rsidR="00127ABA">
        <w:rPr>
          <w:lang w:val="es-ES"/>
        </w:rPr>
        <w:t>, incluyendo la firma electrónica. Además, en la Resolución 72 del código en mención, se especifican lineamientos sobre</w:t>
      </w:r>
      <w:r w:rsidR="00B16A67">
        <w:rPr>
          <w:lang w:val="es-ES"/>
        </w:rPr>
        <w:t xml:space="preserve"> </w:t>
      </w:r>
      <w:r w:rsidR="00127ABA" w:rsidRPr="00127ABA">
        <w:rPr>
          <w:i/>
          <w:iCs/>
          <w:lang w:val="es-ES"/>
        </w:rPr>
        <w:t>Documentos firmados electrónicamente</w:t>
      </w:r>
      <w:r w:rsidR="00127ABA">
        <w:rPr>
          <w:i/>
          <w:iCs/>
          <w:lang w:val="es-ES"/>
        </w:rPr>
        <w:t xml:space="preserve">, </w:t>
      </w:r>
      <w:r w:rsidR="00127ABA" w:rsidRPr="00127ABA">
        <w:rPr>
          <w:i/>
          <w:iCs/>
          <w:lang w:val="es-ES"/>
        </w:rPr>
        <w:t>Uso de herramientas informáticas</w:t>
      </w:r>
      <w:r w:rsidR="00127ABA">
        <w:rPr>
          <w:i/>
          <w:iCs/>
          <w:lang w:val="es-ES"/>
        </w:rPr>
        <w:t xml:space="preserve"> </w:t>
      </w:r>
      <w:r w:rsidR="00127ABA" w:rsidRPr="00127ABA">
        <w:rPr>
          <w:lang w:val="es-ES"/>
        </w:rPr>
        <w:t>y</w:t>
      </w:r>
      <w:r w:rsidR="00127ABA" w:rsidRPr="00127ABA">
        <w:t xml:space="preserve"> </w:t>
      </w:r>
      <w:r w:rsidR="00127ABA" w:rsidRPr="00127ABA">
        <w:rPr>
          <w:i/>
          <w:iCs/>
          <w:lang w:val="es-ES"/>
        </w:rPr>
        <w:t>Del certificado de firma Electrónica.</w:t>
      </w:r>
    </w:p>
    <w:p w14:paraId="6B8EA5F8" w14:textId="1F733E90" w:rsidR="009660C6" w:rsidRDefault="002634D9" w:rsidP="00BA4AA9">
      <w:pPr>
        <w:rPr>
          <w:lang w:val="es-ES"/>
        </w:rPr>
      </w:pPr>
      <w:r>
        <w:rPr>
          <w:lang w:val="es-ES"/>
        </w:rPr>
        <w:t>Estos estatutos legales, propician la capacitación de</w:t>
      </w:r>
      <w:r w:rsidR="00784872">
        <w:rPr>
          <w:lang w:val="es-ES"/>
        </w:rPr>
        <w:t xml:space="preserve"> servidores públicos en diversos ámbitos, donde el </w:t>
      </w:r>
      <w:r w:rsidR="00784872" w:rsidRPr="00784872">
        <w:rPr>
          <w:lang w:val="es-ES"/>
        </w:rPr>
        <w:t>Sistema Nacional de Contratación Pública</w:t>
      </w:r>
      <w:r>
        <w:rPr>
          <w:lang w:val="es-ES"/>
        </w:rPr>
        <w:t xml:space="preserve"> </w:t>
      </w:r>
      <w:r w:rsidR="002D3F31">
        <w:rPr>
          <w:lang w:val="es-ES"/>
        </w:rPr>
        <w:t xml:space="preserve">(SERCOP) </w:t>
      </w:r>
      <w:r w:rsidR="00784872">
        <w:rPr>
          <w:lang w:val="es-ES"/>
        </w:rPr>
        <w:t xml:space="preserve">oferta temas con mayor relevancia y demanda para este segmento de la población nacional. Bajo dichos antecedentes, </w:t>
      </w:r>
      <w:r w:rsidRPr="002634D9">
        <w:rPr>
          <w:lang w:val="es-ES"/>
        </w:rPr>
        <w:t>el objetivo de esta investigación fue analizar el impacto de la telemática en las certificaciones de los servidores públicos.</w:t>
      </w:r>
      <w:bookmarkStart w:id="4" w:name="_GoBack"/>
      <w:bookmarkEnd w:id="4"/>
    </w:p>
    <w:p w14:paraId="19443058" w14:textId="59D92B63" w:rsidR="00BE3C62" w:rsidRDefault="00BE3C62" w:rsidP="008E04C4">
      <w:pPr>
        <w:jc w:val="left"/>
        <w:rPr>
          <w:b/>
          <w:bCs/>
          <w:lang w:val="es-ES"/>
        </w:rPr>
      </w:pPr>
      <w:r>
        <w:rPr>
          <w:b/>
          <w:bCs/>
          <w:lang w:val="es-ES"/>
        </w:rPr>
        <w:lastRenderedPageBreak/>
        <w:t>MATERIALES Y MÉTODOS</w:t>
      </w:r>
    </w:p>
    <w:p w14:paraId="687F4368" w14:textId="1EA0F0CE" w:rsidR="00AC13B2" w:rsidRDefault="001F4964" w:rsidP="00AC13B2">
      <w:pPr>
        <w:rPr>
          <w:lang w:val="es-ES"/>
        </w:rPr>
      </w:pPr>
      <w:r>
        <w:rPr>
          <w:lang w:val="es-ES"/>
        </w:rPr>
        <w:t>El desarrollo de esta investigación se realizó mediante la r</w:t>
      </w:r>
      <w:r w:rsidR="00AC13B2" w:rsidRPr="00AC13B2">
        <w:rPr>
          <w:lang w:val="es-ES"/>
        </w:rPr>
        <w:t>ecopilación de datos</w:t>
      </w:r>
      <w:r>
        <w:rPr>
          <w:lang w:val="es-ES"/>
        </w:rPr>
        <w:t xml:space="preserve"> cuantitativos de carácter público, disponible</w:t>
      </w:r>
      <w:r w:rsidR="00445992">
        <w:rPr>
          <w:lang w:val="es-ES"/>
        </w:rPr>
        <w:t>s</w:t>
      </w:r>
      <w:r>
        <w:rPr>
          <w:lang w:val="es-ES"/>
        </w:rPr>
        <w:t xml:space="preserve"> en la página web del SERCOP. </w:t>
      </w:r>
      <w:r w:rsidR="009C2BF9">
        <w:rPr>
          <w:lang w:val="es-ES"/>
        </w:rPr>
        <w:t>Los datos analizados corresponden a las certificaciones emitidas en los años 2018, 2019 y 2021</w:t>
      </w:r>
      <w:r w:rsidR="000B4F77">
        <w:rPr>
          <w:lang w:val="es-ES"/>
        </w:rPr>
        <w:t xml:space="preserve"> con la finalidad de tomar en cuenta datos antes y durante la actual crisis de la pandemia</w:t>
      </w:r>
      <w:r w:rsidR="00AC13B2" w:rsidRPr="00AC13B2">
        <w:rPr>
          <w:lang w:val="es-ES"/>
        </w:rPr>
        <w:t xml:space="preserve"> Covid-19. Es importante resaltar que</w:t>
      </w:r>
      <w:r w:rsidR="00445992">
        <w:rPr>
          <w:lang w:val="es-ES"/>
        </w:rPr>
        <w:t xml:space="preserve">, se tomaron datos sobre las </w:t>
      </w:r>
      <w:r w:rsidR="00445992" w:rsidRPr="00F2412E">
        <w:rPr>
          <w:lang w:val="es-ES"/>
        </w:rPr>
        <w:t>Certificaciones de Competencias en Contratación Pública</w:t>
      </w:r>
      <w:r w:rsidR="009C42FB">
        <w:rPr>
          <w:lang w:val="es-ES"/>
        </w:rPr>
        <w:t>,</w:t>
      </w:r>
      <w:r w:rsidR="00032318">
        <w:rPr>
          <w:lang w:val="es-ES"/>
        </w:rPr>
        <w:t xml:space="preserve"> tema que históricamente ha tenido gran relevancia en la formación y gestión de servidores públicos</w:t>
      </w:r>
      <w:r w:rsidR="00AC13B2" w:rsidRPr="00AC13B2">
        <w:rPr>
          <w:lang w:val="es-ES"/>
        </w:rPr>
        <w:t>.</w:t>
      </w:r>
    </w:p>
    <w:p w14:paraId="5F506051" w14:textId="50004A9A" w:rsidR="00481742" w:rsidRDefault="00481742" w:rsidP="00481742">
      <w:pPr>
        <w:rPr>
          <w:lang w:val="es-ES"/>
        </w:rPr>
      </w:pPr>
      <w:r>
        <w:rPr>
          <w:lang w:val="es-ES"/>
        </w:rPr>
        <w:t xml:space="preserve">Estos cursos, están divididos en </w:t>
      </w:r>
      <w:r w:rsidRPr="00481742">
        <w:rPr>
          <w:lang w:val="es-ES"/>
        </w:rPr>
        <w:t>módulos por herramienta; en cada módulo se presentan materiales de apoyo como lecturas seleccionadas, la Ley Orgánica del Sistema Nacional de Contratación Pública – LOSNCP, La Ley Orgánica del Empresas Públicas, el Reglamento General de aplicación de la Ley con sus modificaciones, Resoluciones del SERCOP, los Modelos de pliegos y los manuales del usuario de las diferentes herramientas de contratación pública</w:t>
      </w:r>
      <w:r>
        <w:rPr>
          <w:lang w:val="es-ES"/>
        </w:rPr>
        <w:t xml:space="preserve">; cuya finalidad es </w:t>
      </w:r>
      <w:r w:rsidRPr="00481742">
        <w:rPr>
          <w:lang w:val="es-ES"/>
        </w:rPr>
        <w:t xml:space="preserve">contribuir en el fortalecimiento de la gestión pública del país con un apropiado conocimiento de la normativa y de las herramientas informáticas del </w:t>
      </w:r>
      <w:r w:rsidR="00C863B7">
        <w:rPr>
          <w:lang w:val="es-ES"/>
        </w:rPr>
        <w:t>sistema</w:t>
      </w:r>
      <w:r>
        <w:rPr>
          <w:lang w:val="es-ES"/>
        </w:rPr>
        <w:t xml:space="preserve"> (SERCOP, 2020)</w:t>
      </w:r>
      <w:r w:rsidRPr="00481742">
        <w:rPr>
          <w:lang w:val="es-ES"/>
        </w:rPr>
        <w:t xml:space="preserve">. </w:t>
      </w:r>
    </w:p>
    <w:p w14:paraId="153C5E2E" w14:textId="2CD184B0" w:rsidR="00AF034B" w:rsidRDefault="008A506D" w:rsidP="00481742">
      <w:pPr>
        <w:rPr>
          <w:lang w:val="es-ES"/>
        </w:rPr>
      </w:pPr>
      <w:r>
        <w:rPr>
          <w:lang w:val="es-ES"/>
        </w:rPr>
        <w:t>Los datos se tabularon y presentaron gráficamente mediante el software</w:t>
      </w:r>
      <w:r w:rsidR="00717324">
        <w:rPr>
          <w:lang w:val="es-ES"/>
        </w:rPr>
        <w:t xml:space="preserve"> Microsoft Excel 2016</w:t>
      </w:r>
      <w:r w:rsidR="0018734D">
        <w:rPr>
          <w:lang w:val="es-ES"/>
        </w:rPr>
        <w:t xml:space="preserve"> donde se destaca el número de participantes en las certificaciones</w:t>
      </w:r>
      <w:r w:rsidR="004048D1">
        <w:rPr>
          <w:lang w:val="es-ES"/>
        </w:rPr>
        <w:t xml:space="preserve"> y las aprobaciones respectivas</w:t>
      </w:r>
      <w:r>
        <w:rPr>
          <w:lang w:val="es-ES"/>
        </w:rPr>
        <w:t>; además del incremento exponencial de las certificaciones emitidas por el SERCOP</w:t>
      </w:r>
      <w:r w:rsidR="004048D1">
        <w:rPr>
          <w:lang w:val="es-ES"/>
        </w:rPr>
        <w:t>.</w:t>
      </w:r>
    </w:p>
    <w:p w14:paraId="7DCC68F3" w14:textId="74A938A4" w:rsidR="004048D1" w:rsidRDefault="00576284" w:rsidP="008E04C4">
      <w:pPr>
        <w:jc w:val="left"/>
        <w:rPr>
          <w:b/>
          <w:bCs/>
          <w:lang w:val="es-ES"/>
        </w:rPr>
      </w:pPr>
      <w:r>
        <w:rPr>
          <w:b/>
          <w:bCs/>
          <w:lang w:val="es-ES"/>
        </w:rPr>
        <w:t>RESULTADOS Y DISCUSIÓN</w:t>
      </w:r>
    </w:p>
    <w:p w14:paraId="4DF827E3" w14:textId="1F42E12F" w:rsidR="00576284" w:rsidRDefault="00D16695" w:rsidP="00D16695">
      <w:pPr>
        <w:rPr>
          <w:lang w:val="es-ES"/>
        </w:rPr>
      </w:pPr>
      <w:r>
        <w:rPr>
          <w:lang w:val="es-ES"/>
        </w:rPr>
        <w:t>En este punto, resulta importante destacar que</w:t>
      </w:r>
      <w:r w:rsidR="009C42FB">
        <w:rPr>
          <w:lang w:val="es-ES"/>
        </w:rPr>
        <w:t>,</w:t>
      </w:r>
      <w:r>
        <w:rPr>
          <w:lang w:val="es-ES"/>
        </w:rPr>
        <w:t xml:space="preserve"> para que el uso de la telemática en la certificación de servidores públicos sea factible y eficaz, se debe considerar</w:t>
      </w:r>
      <w:r w:rsidRPr="00D16695">
        <w:rPr>
          <w:lang w:val="es-ES"/>
        </w:rPr>
        <w:t xml:space="preserve"> cuatro factores que influyen </w:t>
      </w:r>
      <w:r>
        <w:rPr>
          <w:lang w:val="es-ES"/>
        </w:rPr>
        <w:t>en dicha actividad</w:t>
      </w:r>
      <w:r w:rsidRPr="00D16695">
        <w:rPr>
          <w:lang w:val="es-ES"/>
        </w:rPr>
        <w:t xml:space="preserve">: factores individuales, factores laborales, factores organizativos y factores domésticos </w:t>
      </w:r>
      <w:r>
        <w:rPr>
          <w:lang w:val="es-ES"/>
        </w:rPr>
        <w:t>(</w:t>
      </w:r>
      <w:r w:rsidRPr="00D5281E">
        <w:rPr>
          <w:lang w:val="es-ES"/>
        </w:rPr>
        <w:t>Belzunegui</w:t>
      </w:r>
      <w:r>
        <w:rPr>
          <w:lang w:val="es-ES"/>
        </w:rPr>
        <w:t xml:space="preserve"> y</w:t>
      </w:r>
      <w:r w:rsidRPr="00D5281E">
        <w:rPr>
          <w:lang w:val="es-ES"/>
        </w:rPr>
        <w:t xml:space="preserve"> Garcés</w:t>
      </w:r>
      <w:r>
        <w:rPr>
          <w:lang w:val="es-ES"/>
        </w:rPr>
        <w:t xml:space="preserve">, 2020). Ahora bien, </w:t>
      </w:r>
      <w:r w:rsidR="00137E98">
        <w:rPr>
          <w:lang w:val="es-ES"/>
        </w:rPr>
        <w:t>bajo el contexto de una nueva modalidad impulsada por la pandemia mundial del COVID-19, las certificaciones también han presentado cambios; por ejemplo, existe accesibilidad a los módulos y material audiovisual de capacitación en cualquier momento.</w:t>
      </w:r>
    </w:p>
    <w:p w14:paraId="366AC348" w14:textId="77777777" w:rsidR="004B1CD8" w:rsidRDefault="00137E98" w:rsidP="00BE3C62">
      <w:pPr>
        <w:rPr>
          <w:lang w:val="es-ES"/>
        </w:rPr>
      </w:pPr>
      <w:r>
        <w:rPr>
          <w:lang w:val="es-ES"/>
        </w:rPr>
        <w:lastRenderedPageBreak/>
        <w:t>Estos cambios influyen directamente en los hallazgos de esta investigación, pues como se muestra en la figura 1, en 2018 el total de inscritos fue de 4.825 de los cuales sólo se certificaron 403 servidores públicos; mientras que, en 2019 se inscribieron 3.238 participantes, certificándose a 336 de los mismos; y, hasta agosto de 2021, la cantidad de inscritos alcanzó los 40.000 servidores públicos de los cuales 36.207 han logrado la certificación</w:t>
      </w:r>
      <w:r w:rsidR="00936E2C">
        <w:rPr>
          <w:lang w:val="es-ES"/>
        </w:rPr>
        <w:t xml:space="preserve"> </w:t>
      </w:r>
      <w:r w:rsidR="00936E2C" w:rsidRPr="00936E2C">
        <w:rPr>
          <w:lang w:val="es-ES"/>
        </w:rPr>
        <w:t xml:space="preserve">desde localidades remotas </w:t>
      </w:r>
      <w:r w:rsidR="00936E2C">
        <w:rPr>
          <w:lang w:val="es-ES"/>
        </w:rPr>
        <w:t xml:space="preserve">del territorio nacional </w:t>
      </w:r>
      <w:r w:rsidR="00936E2C" w:rsidRPr="00936E2C">
        <w:rPr>
          <w:lang w:val="es-ES"/>
        </w:rPr>
        <w:t xml:space="preserve">pertenecientes a las regiones Costa, Sierra y Amazonía. </w:t>
      </w:r>
    </w:p>
    <w:p w14:paraId="798F1DEC" w14:textId="77777777" w:rsidR="00775C9C" w:rsidRDefault="00D16695" w:rsidP="00775C9C">
      <w:pPr>
        <w:keepNext/>
        <w:spacing w:after="0"/>
        <w:jc w:val="center"/>
      </w:pPr>
      <w:r>
        <w:rPr>
          <w:noProof/>
          <w:lang w:eastAsia="es-EC"/>
        </w:rPr>
        <w:drawing>
          <wp:inline distT="0" distB="0" distL="0" distR="0" wp14:anchorId="39658AD9" wp14:editId="794A9073">
            <wp:extent cx="3829050" cy="2619375"/>
            <wp:effectExtent l="0" t="0" r="0" b="9525"/>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730E3E-6F48-4606-958D-36563E2E9D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790810" w14:textId="660D2923" w:rsidR="00D16695" w:rsidRPr="00775C9C" w:rsidRDefault="00775C9C" w:rsidP="00306A5F">
      <w:pPr>
        <w:pStyle w:val="Descripcin"/>
        <w:spacing w:after="240"/>
        <w:jc w:val="center"/>
        <w:rPr>
          <w:rFonts w:ascii="Arial Narrow" w:hAnsi="Arial Narrow"/>
          <w:i w:val="0"/>
          <w:iCs w:val="0"/>
          <w:color w:val="0D0D0D" w:themeColor="text1" w:themeTint="F2"/>
          <w:sz w:val="20"/>
          <w:szCs w:val="20"/>
          <w:lang w:val="es-ES"/>
        </w:rPr>
      </w:pPr>
      <w:r w:rsidRPr="00775C9C">
        <w:rPr>
          <w:rFonts w:ascii="Arial Narrow" w:hAnsi="Arial Narrow"/>
          <w:b/>
          <w:bCs/>
          <w:i w:val="0"/>
          <w:iCs w:val="0"/>
          <w:color w:val="0D0D0D" w:themeColor="text1" w:themeTint="F2"/>
          <w:sz w:val="20"/>
          <w:szCs w:val="20"/>
        </w:rPr>
        <w:t xml:space="preserve">Figura </w:t>
      </w:r>
      <w:r w:rsidRPr="00775C9C">
        <w:rPr>
          <w:rFonts w:ascii="Arial Narrow" w:hAnsi="Arial Narrow"/>
          <w:b/>
          <w:bCs/>
          <w:i w:val="0"/>
          <w:iCs w:val="0"/>
          <w:color w:val="0D0D0D" w:themeColor="text1" w:themeTint="F2"/>
          <w:sz w:val="20"/>
          <w:szCs w:val="20"/>
        </w:rPr>
        <w:fldChar w:fldCharType="begin"/>
      </w:r>
      <w:r w:rsidRPr="00775C9C">
        <w:rPr>
          <w:rFonts w:ascii="Arial Narrow" w:hAnsi="Arial Narrow"/>
          <w:b/>
          <w:bCs/>
          <w:i w:val="0"/>
          <w:iCs w:val="0"/>
          <w:color w:val="0D0D0D" w:themeColor="text1" w:themeTint="F2"/>
          <w:sz w:val="20"/>
          <w:szCs w:val="20"/>
        </w:rPr>
        <w:instrText xml:space="preserve"> SEQ Figura \* ARABIC </w:instrText>
      </w:r>
      <w:r w:rsidRPr="00775C9C">
        <w:rPr>
          <w:rFonts w:ascii="Arial Narrow" w:hAnsi="Arial Narrow"/>
          <w:b/>
          <w:bCs/>
          <w:i w:val="0"/>
          <w:iCs w:val="0"/>
          <w:color w:val="0D0D0D" w:themeColor="text1" w:themeTint="F2"/>
          <w:sz w:val="20"/>
          <w:szCs w:val="20"/>
        </w:rPr>
        <w:fldChar w:fldCharType="separate"/>
      </w:r>
      <w:r w:rsidR="000F3D45">
        <w:rPr>
          <w:rFonts w:ascii="Arial Narrow" w:hAnsi="Arial Narrow"/>
          <w:b/>
          <w:bCs/>
          <w:i w:val="0"/>
          <w:iCs w:val="0"/>
          <w:noProof/>
          <w:color w:val="0D0D0D" w:themeColor="text1" w:themeTint="F2"/>
          <w:sz w:val="20"/>
          <w:szCs w:val="20"/>
        </w:rPr>
        <w:t>1</w:t>
      </w:r>
      <w:r w:rsidRPr="00775C9C">
        <w:rPr>
          <w:rFonts w:ascii="Arial Narrow" w:hAnsi="Arial Narrow"/>
          <w:b/>
          <w:bCs/>
          <w:i w:val="0"/>
          <w:iCs w:val="0"/>
          <w:color w:val="0D0D0D" w:themeColor="text1" w:themeTint="F2"/>
          <w:sz w:val="20"/>
          <w:szCs w:val="20"/>
        </w:rPr>
        <w:fldChar w:fldCharType="end"/>
      </w:r>
      <w:r w:rsidRPr="00775C9C">
        <w:rPr>
          <w:rFonts w:ascii="Arial Narrow" w:hAnsi="Arial Narrow"/>
          <w:b/>
          <w:bCs/>
          <w:i w:val="0"/>
          <w:iCs w:val="0"/>
          <w:color w:val="0D0D0D" w:themeColor="text1" w:themeTint="F2"/>
          <w:sz w:val="20"/>
          <w:szCs w:val="20"/>
        </w:rPr>
        <w:t>.</w:t>
      </w:r>
      <w:r w:rsidRPr="00775C9C">
        <w:rPr>
          <w:rFonts w:ascii="Arial Narrow" w:hAnsi="Arial Narrow"/>
          <w:i w:val="0"/>
          <w:iCs w:val="0"/>
          <w:color w:val="0D0D0D" w:themeColor="text1" w:themeTint="F2"/>
          <w:sz w:val="20"/>
          <w:szCs w:val="20"/>
        </w:rPr>
        <w:t xml:space="preserve"> </w:t>
      </w:r>
      <w:r w:rsidR="00EF6184">
        <w:rPr>
          <w:rFonts w:ascii="Arial Narrow" w:hAnsi="Arial Narrow"/>
          <w:i w:val="0"/>
          <w:iCs w:val="0"/>
          <w:color w:val="0D0D0D" w:themeColor="text1" w:themeTint="F2"/>
          <w:sz w:val="20"/>
          <w:szCs w:val="20"/>
        </w:rPr>
        <w:t>Evolución</w:t>
      </w:r>
      <w:r w:rsidRPr="00775C9C">
        <w:rPr>
          <w:rFonts w:ascii="Arial Narrow" w:hAnsi="Arial Narrow"/>
          <w:i w:val="0"/>
          <w:iCs w:val="0"/>
          <w:color w:val="0D0D0D" w:themeColor="text1" w:themeTint="F2"/>
          <w:sz w:val="20"/>
          <w:szCs w:val="20"/>
        </w:rPr>
        <w:t xml:space="preserve"> de los servidores</w:t>
      </w:r>
      <w:r w:rsidR="00EF6184">
        <w:rPr>
          <w:rFonts w:ascii="Arial Narrow" w:hAnsi="Arial Narrow"/>
          <w:i w:val="0"/>
          <w:iCs w:val="0"/>
          <w:color w:val="0D0D0D" w:themeColor="text1" w:themeTint="F2"/>
          <w:sz w:val="20"/>
          <w:szCs w:val="20"/>
        </w:rPr>
        <w:t xml:space="preserve"> públicos</w:t>
      </w:r>
      <w:r w:rsidRPr="00775C9C">
        <w:rPr>
          <w:rFonts w:ascii="Arial Narrow" w:hAnsi="Arial Narrow"/>
          <w:i w:val="0"/>
          <w:iCs w:val="0"/>
          <w:color w:val="0D0D0D" w:themeColor="text1" w:themeTint="F2"/>
          <w:sz w:val="20"/>
          <w:szCs w:val="20"/>
        </w:rPr>
        <w:t xml:space="preserve"> inscritos y aprobados en las certificaciones del SERCOP.</w:t>
      </w:r>
    </w:p>
    <w:p w14:paraId="01ADE8FF" w14:textId="2817F7F8" w:rsidR="004B1CD8" w:rsidRDefault="004B1CD8" w:rsidP="004B1CD8">
      <w:pPr>
        <w:rPr>
          <w:lang w:val="es-ES"/>
        </w:rPr>
      </w:pPr>
      <w:r>
        <w:rPr>
          <w:lang w:val="es-ES"/>
        </w:rPr>
        <w:t>Otro aspecto importante a destacar es que</w:t>
      </w:r>
      <w:r w:rsidRPr="00936E2C">
        <w:rPr>
          <w:lang w:val="es-ES"/>
        </w:rPr>
        <w:t xml:space="preserve">, </w:t>
      </w:r>
      <w:r>
        <w:rPr>
          <w:lang w:val="es-ES"/>
        </w:rPr>
        <w:t xml:space="preserve">el uso de </w:t>
      </w:r>
      <w:r w:rsidRPr="00936E2C">
        <w:rPr>
          <w:lang w:val="es-ES"/>
        </w:rPr>
        <w:t>la firma electrónica, como requisito para acceder a estos seminarios, ha presentado un aumento de más del 1.000% desde julio de 2018 hasta julio de 2021</w:t>
      </w:r>
      <w:r>
        <w:rPr>
          <w:lang w:val="es-ES"/>
        </w:rPr>
        <w:t xml:space="preserve"> (García, 2020). </w:t>
      </w:r>
      <w:r w:rsidR="00696563">
        <w:rPr>
          <w:lang w:val="es-ES"/>
        </w:rPr>
        <w:t xml:space="preserve">Según </w:t>
      </w:r>
      <w:r w:rsidR="00303264">
        <w:rPr>
          <w:lang w:val="es-ES"/>
        </w:rPr>
        <w:t>González (2018)</w:t>
      </w:r>
      <w:r w:rsidR="00696563">
        <w:rPr>
          <w:lang w:val="es-ES"/>
        </w:rPr>
        <w:t xml:space="preserve"> este recurso presenta beneficios como:</w:t>
      </w:r>
    </w:p>
    <w:p w14:paraId="78243C2A" w14:textId="77777777" w:rsidR="00696563" w:rsidRPr="00696563" w:rsidRDefault="00696563" w:rsidP="00696563">
      <w:pPr>
        <w:pStyle w:val="Prrafodelista"/>
        <w:numPr>
          <w:ilvl w:val="0"/>
          <w:numId w:val="2"/>
        </w:numPr>
        <w:rPr>
          <w:lang w:val="es-ES"/>
        </w:rPr>
      </w:pPr>
      <w:r w:rsidRPr="00696563">
        <w:rPr>
          <w:lang w:val="es-ES"/>
        </w:rPr>
        <w:t>Protección jurídica</w:t>
      </w:r>
    </w:p>
    <w:p w14:paraId="21250AE0" w14:textId="408F5E6A" w:rsidR="00696563" w:rsidRPr="00696563" w:rsidRDefault="00696563" w:rsidP="00696563">
      <w:pPr>
        <w:pStyle w:val="Prrafodelista"/>
        <w:numPr>
          <w:ilvl w:val="0"/>
          <w:numId w:val="2"/>
        </w:numPr>
        <w:rPr>
          <w:lang w:val="es-ES"/>
        </w:rPr>
      </w:pPr>
      <w:r w:rsidRPr="00696563">
        <w:rPr>
          <w:lang w:val="es-ES"/>
        </w:rPr>
        <w:t>Protección tecnológica</w:t>
      </w:r>
    </w:p>
    <w:p w14:paraId="2F1D78C3" w14:textId="35AE8F34" w:rsidR="00696563" w:rsidRPr="00696563" w:rsidRDefault="00696563" w:rsidP="00696563">
      <w:pPr>
        <w:pStyle w:val="Prrafodelista"/>
        <w:numPr>
          <w:ilvl w:val="0"/>
          <w:numId w:val="2"/>
        </w:numPr>
        <w:rPr>
          <w:lang w:val="es-ES"/>
        </w:rPr>
      </w:pPr>
      <w:r w:rsidRPr="00696563">
        <w:rPr>
          <w:lang w:val="es-ES"/>
        </w:rPr>
        <w:t>Desmaterialización de valores y documentos</w:t>
      </w:r>
    </w:p>
    <w:p w14:paraId="18AEA8BC" w14:textId="39FD82F5" w:rsidR="00696563" w:rsidRPr="00696563" w:rsidRDefault="00696563" w:rsidP="00696563">
      <w:pPr>
        <w:pStyle w:val="Prrafodelista"/>
        <w:numPr>
          <w:ilvl w:val="0"/>
          <w:numId w:val="2"/>
        </w:numPr>
        <w:rPr>
          <w:lang w:val="es-ES"/>
        </w:rPr>
      </w:pPr>
      <w:r w:rsidRPr="00696563">
        <w:rPr>
          <w:lang w:val="es-ES"/>
        </w:rPr>
        <w:t>Agilitar los negocios y trámites (incrementa productividad).</w:t>
      </w:r>
    </w:p>
    <w:p w14:paraId="7F8BEA3E" w14:textId="068532CB" w:rsidR="00696563" w:rsidRPr="00696563" w:rsidRDefault="00696563" w:rsidP="00696563">
      <w:pPr>
        <w:pStyle w:val="Prrafodelista"/>
        <w:numPr>
          <w:ilvl w:val="0"/>
          <w:numId w:val="2"/>
        </w:numPr>
        <w:rPr>
          <w:lang w:val="es-ES"/>
        </w:rPr>
      </w:pPr>
      <w:r w:rsidRPr="00696563">
        <w:rPr>
          <w:lang w:val="es-ES"/>
        </w:rPr>
        <w:t>Disminución considerable de costos (materiales, mano de obra, etc).</w:t>
      </w:r>
    </w:p>
    <w:p w14:paraId="35A64456" w14:textId="201D60CF" w:rsidR="00696563" w:rsidRPr="00696563" w:rsidRDefault="00696563" w:rsidP="00696563">
      <w:pPr>
        <w:pStyle w:val="Prrafodelista"/>
        <w:numPr>
          <w:ilvl w:val="0"/>
          <w:numId w:val="2"/>
        </w:numPr>
        <w:rPr>
          <w:lang w:val="es-ES"/>
        </w:rPr>
      </w:pPr>
      <w:r w:rsidRPr="00696563">
        <w:rPr>
          <w:lang w:val="es-ES"/>
        </w:rPr>
        <w:t>Contribuye con el medio ambiente</w:t>
      </w:r>
    </w:p>
    <w:p w14:paraId="07E3B7D4" w14:textId="7ED01070" w:rsidR="00696563" w:rsidRPr="00696563" w:rsidRDefault="00696563" w:rsidP="00696563">
      <w:pPr>
        <w:pStyle w:val="Prrafodelista"/>
        <w:numPr>
          <w:ilvl w:val="0"/>
          <w:numId w:val="2"/>
        </w:numPr>
        <w:rPr>
          <w:lang w:val="es-ES"/>
        </w:rPr>
      </w:pPr>
      <w:r w:rsidRPr="00696563">
        <w:rPr>
          <w:lang w:val="es-ES"/>
        </w:rPr>
        <w:t>Mejorar la competitividad</w:t>
      </w:r>
    </w:p>
    <w:p w14:paraId="59B9F1B2" w14:textId="7B96D968" w:rsidR="00D16695" w:rsidRDefault="00EF6184" w:rsidP="00BE3C62">
      <w:pPr>
        <w:rPr>
          <w:lang w:val="es-ES"/>
        </w:rPr>
      </w:pPr>
      <w:r>
        <w:rPr>
          <w:lang w:val="es-ES"/>
        </w:rPr>
        <w:t xml:space="preserve">Al analizar el porcentaje de aprobación de las certificaciones emitidas por el SERCOP, se evidencia que la misma ha tenido una evolución exponencial pues en 2018 </w:t>
      </w:r>
      <w:r w:rsidR="008E04C4">
        <w:rPr>
          <w:lang w:val="es-ES"/>
        </w:rPr>
        <w:t>apenas</w:t>
      </w:r>
      <w:r>
        <w:rPr>
          <w:lang w:val="es-ES"/>
        </w:rPr>
        <w:t xml:space="preserve"> un 13% de inscritos lograron certificarse; en 2019 el porcentaje </w:t>
      </w:r>
      <w:r>
        <w:rPr>
          <w:lang w:val="es-ES"/>
        </w:rPr>
        <w:lastRenderedPageBreak/>
        <w:t xml:space="preserve">de aprobación alcanzó el 22%; y, en 2021 se ha logrado que el 90,52% de inscritos logren certificarse (figura 2). </w:t>
      </w:r>
    </w:p>
    <w:p w14:paraId="1C507BF3" w14:textId="77777777" w:rsidR="00EF6184" w:rsidRDefault="005A5772" w:rsidP="00EF6184">
      <w:pPr>
        <w:keepNext/>
        <w:spacing w:after="0"/>
        <w:jc w:val="center"/>
      </w:pPr>
      <w:r>
        <w:rPr>
          <w:noProof/>
          <w:lang w:eastAsia="es-EC"/>
        </w:rPr>
        <w:drawing>
          <wp:inline distT="0" distB="0" distL="0" distR="0" wp14:anchorId="0AA264B8" wp14:editId="2DB13AB9">
            <wp:extent cx="4267200" cy="2514600"/>
            <wp:effectExtent l="0" t="0" r="0" b="0"/>
            <wp:docPr id="2" name="Gráfic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A779C4-4D41-40C7-9FCE-6114893C5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515427" w14:textId="0604BC9D" w:rsidR="005A5772" w:rsidRDefault="00EF6184" w:rsidP="00EF6184">
      <w:pPr>
        <w:pStyle w:val="Descripcin"/>
        <w:jc w:val="center"/>
        <w:rPr>
          <w:lang w:val="es-ES"/>
        </w:rPr>
      </w:pPr>
      <w:r w:rsidRPr="00EF6184">
        <w:rPr>
          <w:rFonts w:ascii="Arial Narrow" w:hAnsi="Arial Narrow"/>
          <w:b/>
          <w:bCs/>
          <w:i w:val="0"/>
          <w:iCs w:val="0"/>
          <w:color w:val="0D0D0D" w:themeColor="text1" w:themeTint="F2"/>
          <w:sz w:val="20"/>
          <w:szCs w:val="20"/>
        </w:rPr>
        <w:t xml:space="preserve">Figura </w:t>
      </w:r>
      <w:r w:rsidRPr="00EF6184">
        <w:rPr>
          <w:rFonts w:ascii="Arial Narrow" w:hAnsi="Arial Narrow"/>
          <w:b/>
          <w:bCs/>
          <w:i w:val="0"/>
          <w:iCs w:val="0"/>
          <w:color w:val="0D0D0D" w:themeColor="text1" w:themeTint="F2"/>
          <w:sz w:val="20"/>
          <w:szCs w:val="20"/>
        </w:rPr>
        <w:fldChar w:fldCharType="begin"/>
      </w:r>
      <w:r w:rsidRPr="00EF6184">
        <w:rPr>
          <w:rFonts w:ascii="Arial Narrow" w:hAnsi="Arial Narrow"/>
          <w:b/>
          <w:bCs/>
          <w:i w:val="0"/>
          <w:iCs w:val="0"/>
          <w:color w:val="0D0D0D" w:themeColor="text1" w:themeTint="F2"/>
          <w:sz w:val="20"/>
          <w:szCs w:val="20"/>
        </w:rPr>
        <w:instrText xml:space="preserve"> SEQ Figura \* ARABIC </w:instrText>
      </w:r>
      <w:r w:rsidRPr="00EF6184">
        <w:rPr>
          <w:rFonts w:ascii="Arial Narrow" w:hAnsi="Arial Narrow"/>
          <w:b/>
          <w:bCs/>
          <w:i w:val="0"/>
          <w:iCs w:val="0"/>
          <w:color w:val="0D0D0D" w:themeColor="text1" w:themeTint="F2"/>
          <w:sz w:val="20"/>
          <w:szCs w:val="20"/>
        </w:rPr>
        <w:fldChar w:fldCharType="separate"/>
      </w:r>
      <w:r w:rsidR="000F3D45">
        <w:rPr>
          <w:rFonts w:ascii="Arial Narrow" w:hAnsi="Arial Narrow"/>
          <w:b/>
          <w:bCs/>
          <w:i w:val="0"/>
          <w:iCs w:val="0"/>
          <w:noProof/>
          <w:color w:val="0D0D0D" w:themeColor="text1" w:themeTint="F2"/>
          <w:sz w:val="20"/>
          <w:szCs w:val="20"/>
        </w:rPr>
        <w:t>2</w:t>
      </w:r>
      <w:r w:rsidRPr="00EF6184">
        <w:rPr>
          <w:rFonts w:ascii="Arial Narrow" w:hAnsi="Arial Narrow"/>
          <w:b/>
          <w:bCs/>
          <w:i w:val="0"/>
          <w:iCs w:val="0"/>
          <w:color w:val="0D0D0D" w:themeColor="text1" w:themeTint="F2"/>
          <w:sz w:val="20"/>
          <w:szCs w:val="20"/>
        </w:rPr>
        <w:fldChar w:fldCharType="end"/>
      </w:r>
      <w:r w:rsidRPr="00EF6184">
        <w:rPr>
          <w:rFonts w:ascii="Arial Narrow" w:hAnsi="Arial Narrow"/>
          <w:b/>
          <w:bCs/>
          <w:i w:val="0"/>
          <w:iCs w:val="0"/>
          <w:color w:val="0D0D0D" w:themeColor="text1" w:themeTint="F2"/>
          <w:sz w:val="20"/>
          <w:szCs w:val="20"/>
        </w:rPr>
        <w:t>.</w:t>
      </w:r>
      <w:r w:rsidRPr="00EF6184">
        <w:rPr>
          <w:rFonts w:ascii="Arial Narrow" w:hAnsi="Arial Narrow"/>
          <w:i w:val="0"/>
          <w:iCs w:val="0"/>
          <w:color w:val="0D0D0D" w:themeColor="text1" w:themeTint="F2"/>
          <w:sz w:val="20"/>
          <w:szCs w:val="20"/>
        </w:rPr>
        <w:t xml:space="preserve"> Porcentaje de aprobación de las certificaciones emitidas por el SERCOP</w:t>
      </w:r>
      <w:r>
        <w:t>.</w:t>
      </w:r>
    </w:p>
    <w:p w14:paraId="59611D26" w14:textId="61A30430" w:rsidR="00E643B5" w:rsidRDefault="00043C0F" w:rsidP="00E34234">
      <w:pPr>
        <w:rPr>
          <w:lang w:val="es-ES"/>
        </w:rPr>
      </w:pPr>
      <w:r>
        <w:rPr>
          <w:lang w:val="es-ES"/>
        </w:rPr>
        <w:t xml:space="preserve">Acorde a Puente (2021), </w:t>
      </w:r>
      <w:r w:rsidR="00ED1341" w:rsidRPr="00ED1341">
        <w:rPr>
          <w:lang w:val="es-ES"/>
        </w:rPr>
        <w:t xml:space="preserve">el cambio al modelo de educación modular adoptado </w:t>
      </w:r>
      <w:r w:rsidR="00ED1341">
        <w:rPr>
          <w:lang w:val="es-ES"/>
        </w:rPr>
        <w:t>por el SERCOP desde 2019 es</w:t>
      </w:r>
      <w:r w:rsidR="00ED1341" w:rsidRPr="00ED1341">
        <w:rPr>
          <w:lang w:val="es-ES"/>
        </w:rPr>
        <w:t xml:space="preserve"> más eficaz al permitir que las entidades adapten los contenidos a sus necesidades particulares</w:t>
      </w:r>
      <w:r w:rsidR="00ED1341">
        <w:rPr>
          <w:lang w:val="es-ES"/>
        </w:rPr>
        <w:t>; y,</w:t>
      </w:r>
      <w:r w:rsidR="009660C6">
        <w:rPr>
          <w:lang w:val="es-ES"/>
        </w:rPr>
        <w:t xml:space="preserve"> </w:t>
      </w:r>
      <w:r>
        <w:rPr>
          <w:lang w:val="es-ES"/>
        </w:rPr>
        <w:t>d</w:t>
      </w:r>
      <w:r w:rsidR="00E643B5">
        <w:rPr>
          <w:lang w:val="es-ES"/>
        </w:rPr>
        <w:t xml:space="preserve">e entre los múltiples beneficios que obtienen los servidores públicos con las certificaciones antes mencionadas, resulta oportuno destacar los siguientes: </w:t>
      </w:r>
    </w:p>
    <w:p w14:paraId="24EC894D" w14:textId="4726A1ED" w:rsidR="00E643B5" w:rsidRDefault="00E643B5" w:rsidP="00E643B5">
      <w:pPr>
        <w:pStyle w:val="Prrafodelista"/>
        <w:numPr>
          <w:ilvl w:val="0"/>
          <w:numId w:val="1"/>
        </w:numPr>
        <w:rPr>
          <w:lang w:val="es-ES"/>
        </w:rPr>
      </w:pPr>
      <w:r w:rsidRPr="00E643B5">
        <w:rPr>
          <w:lang w:val="es-ES"/>
        </w:rPr>
        <w:t>Profesionaliza las actividades de la contratación pública, posibilitando un plan de carrera y desarrollo profesional para los funcionarios certificados</w:t>
      </w:r>
      <w:r>
        <w:rPr>
          <w:lang w:val="es-ES"/>
        </w:rPr>
        <w:t>.</w:t>
      </w:r>
    </w:p>
    <w:p w14:paraId="301EE341" w14:textId="233AEDC3" w:rsidR="00E643B5" w:rsidRDefault="00E643B5" w:rsidP="00E643B5">
      <w:pPr>
        <w:pStyle w:val="Prrafodelista"/>
        <w:numPr>
          <w:ilvl w:val="0"/>
          <w:numId w:val="1"/>
        </w:numPr>
        <w:rPr>
          <w:lang w:val="es-ES"/>
        </w:rPr>
      </w:pPr>
      <w:r w:rsidRPr="00E643B5">
        <w:rPr>
          <w:lang w:val="es-ES"/>
        </w:rPr>
        <w:t>Eleva su desempeño mediante la mejora de sus competencias en la gestión de los procesos de contratación.</w:t>
      </w:r>
    </w:p>
    <w:p w14:paraId="6F762A20" w14:textId="130108BE" w:rsidR="00E643B5" w:rsidRDefault="00E643B5" w:rsidP="00E643B5">
      <w:pPr>
        <w:pStyle w:val="Prrafodelista"/>
        <w:numPr>
          <w:ilvl w:val="0"/>
          <w:numId w:val="1"/>
        </w:numPr>
        <w:rPr>
          <w:lang w:val="es-ES"/>
        </w:rPr>
      </w:pPr>
      <w:r w:rsidRPr="00E643B5">
        <w:rPr>
          <w:lang w:val="es-ES"/>
        </w:rPr>
        <w:t>Aplica rigurosamente la normativa e instrumentos de contratación pública, con menor margen de errores</w:t>
      </w:r>
      <w:r>
        <w:rPr>
          <w:lang w:val="es-ES"/>
        </w:rPr>
        <w:t>.</w:t>
      </w:r>
    </w:p>
    <w:p w14:paraId="29B91EC4" w14:textId="4E7CD541" w:rsidR="00E643B5" w:rsidRPr="00E643B5" w:rsidRDefault="00E643B5" w:rsidP="00E643B5">
      <w:pPr>
        <w:pStyle w:val="Prrafodelista"/>
        <w:numPr>
          <w:ilvl w:val="0"/>
          <w:numId w:val="1"/>
        </w:numPr>
        <w:rPr>
          <w:lang w:val="es-ES"/>
        </w:rPr>
      </w:pPr>
      <w:r w:rsidRPr="00E643B5">
        <w:rPr>
          <w:lang w:val="es-ES"/>
        </w:rPr>
        <w:t>Prioridad para recibir capacitación y actualización en materia de contratación pública</w:t>
      </w:r>
      <w:r>
        <w:rPr>
          <w:lang w:val="es-ES"/>
        </w:rPr>
        <w:t>.</w:t>
      </w:r>
    </w:p>
    <w:p w14:paraId="5E50D172" w14:textId="023E62F6" w:rsidR="00E643B5" w:rsidRDefault="002E5E9A" w:rsidP="00E34234">
      <w:pPr>
        <w:rPr>
          <w:lang w:val="es-ES"/>
        </w:rPr>
      </w:pPr>
      <w:r>
        <w:rPr>
          <w:lang w:val="es-ES"/>
        </w:rPr>
        <w:t>En América Latina, cada país posee la resolución y metodología respectiva en lo referente a contratación pública; en Chile l</w:t>
      </w:r>
      <w:r w:rsidRPr="002E5E9A">
        <w:rPr>
          <w:lang w:val="es-ES"/>
        </w:rPr>
        <w:t xml:space="preserve">a calificación a nivel nacional lo realiza una empresa contratada por </w:t>
      </w:r>
      <w:r w:rsidR="008E04C4" w:rsidRPr="002E5E9A">
        <w:rPr>
          <w:lang w:val="es-ES"/>
        </w:rPr>
        <w:t>Chile Compra</w:t>
      </w:r>
      <w:r>
        <w:rPr>
          <w:lang w:val="es-ES"/>
        </w:rPr>
        <w:t xml:space="preserve"> que </w:t>
      </w:r>
      <w:r w:rsidRPr="002E5E9A">
        <w:rPr>
          <w:lang w:val="es-ES"/>
        </w:rPr>
        <w:t>es el centro de Medición de la Universidad Católica de Chile</w:t>
      </w:r>
      <w:r>
        <w:rPr>
          <w:lang w:val="es-ES"/>
        </w:rPr>
        <w:t>; en Perú, l</w:t>
      </w:r>
      <w:r w:rsidRPr="002E5E9A">
        <w:rPr>
          <w:lang w:val="es-ES"/>
        </w:rPr>
        <w:t>a certificación es individual, virtual y gratuita</w:t>
      </w:r>
      <w:r>
        <w:rPr>
          <w:lang w:val="es-ES"/>
        </w:rPr>
        <w:t xml:space="preserve"> y, e</w:t>
      </w:r>
      <w:r w:rsidRPr="002E5E9A">
        <w:rPr>
          <w:lang w:val="es-ES"/>
        </w:rPr>
        <w:t xml:space="preserve">l procedimiento de certificación comprende el registro de información en la Ficha de Datos, la rendición del examen de verificación de conocimientos </w:t>
      </w:r>
      <w:r w:rsidRPr="002E5E9A">
        <w:rPr>
          <w:lang w:val="es-ES"/>
        </w:rPr>
        <w:lastRenderedPageBreak/>
        <w:t>y la presentación de documentos</w:t>
      </w:r>
      <w:r w:rsidR="002443C7">
        <w:rPr>
          <w:lang w:val="es-ES"/>
        </w:rPr>
        <w:t>, mientras que en México, la legislación específica que “e</w:t>
      </w:r>
      <w:r w:rsidR="002443C7" w:rsidRPr="002443C7">
        <w:rPr>
          <w:lang w:val="es-ES"/>
        </w:rPr>
        <w:t>l titular del área contratante o del área responsable de la acreditación a nivel central … designará a los servidores públicos que serán capacitados…”</w:t>
      </w:r>
      <w:r w:rsidR="002443C7">
        <w:rPr>
          <w:lang w:val="es-ES"/>
        </w:rPr>
        <w:t xml:space="preserve"> (Puente, 2021)</w:t>
      </w:r>
      <w:r w:rsidR="002443C7" w:rsidRPr="002443C7">
        <w:rPr>
          <w:lang w:val="es-ES"/>
        </w:rPr>
        <w:t>.</w:t>
      </w:r>
    </w:p>
    <w:p w14:paraId="31811ECD" w14:textId="3B59235C" w:rsidR="000E33B7" w:rsidRDefault="00C33E96" w:rsidP="00E34234">
      <w:pPr>
        <w:rPr>
          <w:lang w:val="es-ES"/>
        </w:rPr>
      </w:pPr>
      <w:r>
        <w:rPr>
          <w:lang w:val="es-ES"/>
        </w:rPr>
        <w:t xml:space="preserve">Finalmente, se destaca que, la crisis provocada por el COVID-19 </w:t>
      </w:r>
      <w:r w:rsidR="008C647F" w:rsidRPr="008C647F">
        <w:rPr>
          <w:lang w:val="es-ES"/>
        </w:rPr>
        <w:t>ha demostrado la falta de planes de contingencia en las empresas para responder a factores externos (por ejemplo, una pandemia) que implican una reorganización del trabajo</w:t>
      </w:r>
      <w:r>
        <w:rPr>
          <w:lang w:val="es-ES"/>
        </w:rPr>
        <w:t xml:space="preserve"> y la formación profesional de los servidores públicos</w:t>
      </w:r>
      <w:r w:rsidR="008C647F" w:rsidRPr="008C647F">
        <w:rPr>
          <w:lang w:val="es-ES"/>
        </w:rPr>
        <w:t xml:space="preserve">. Paralelamente, esta crisis ha </w:t>
      </w:r>
      <w:r>
        <w:rPr>
          <w:lang w:val="es-ES"/>
        </w:rPr>
        <w:t xml:space="preserve">potenciado el uso de la telemática en capacitaciones virtuales </w:t>
      </w:r>
      <w:r w:rsidR="008C647F" w:rsidRPr="008C647F">
        <w:rPr>
          <w:lang w:val="es-ES"/>
        </w:rPr>
        <w:t xml:space="preserve">y su potencial. En este sentido, </w:t>
      </w:r>
      <w:r>
        <w:rPr>
          <w:lang w:val="es-ES"/>
        </w:rPr>
        <w:t>las certificaciones virtuales</w:t>
      </w:r>
      <w:r w:rsidR="008C647F" w:rsidRPr="008C647F">
        <w:rPr>
          <w:lang w:val="es-ES"/>
        </w:rPr>
        <w:t xml:space="preserve"> puede</w:t>
      </w:r>
      <w:r>
        <w:rPr>
          <w:lang w:val="es-ES"/>
        </w:rPr>
        <w:t>n</w:t>
      </w:r>
      <w:r w:rsidR="008C647F" w:rsidRPr="008C647F">
        <w:rPr>
          <w:lang w:val="es-ES"/>
        </w:rPr>
        <w:t xml:space="preserve"> considerarse una respuesta a la crisis del Covid-19 porque satisface las necesidades de contingencia de l</w:t>
      </w:r>
      <w:r>
        <w:rPr>
          <w:lang w:val="es-ES"/>
        </w:rPr>
        <w:t>os servidores públicos</w:t>
      </w:r>
      <w:r w:rsidR="008C647F" w:rsidRPr="008C647F">
        <w:rPr>
          <w:lang w:val="es-ES"/>
        </w:rPr>
        <w:t xml:space="preserve">. </w:t>
      </w:r>
    </w:p>
    <w:p w14:paraId="3AF115B9" w14:textId="727DB958" w:rsidR="00C33E96" w:rsidRDefault="00C33E96" w:rsidP="00C33E96">
      <w:pPr>
        <w:jc w:val="center"/>
        <w:rPr>
          <w:b/>
          <w:bCs/>
          <w:lang w:val="es-ES"/>
        </w:rPr>
      </w:pPr>
      <w:r>
        <w:rPr>
          <w:b/>
          <w:bCs/>
          <w:lang w:val="es-ES"/>
        </w:rPr>
        <w:t>CONCLUSIONES</w:t>
      </w:r>
    </w:p>
    <w:p w14:paraId="5C3C6120" w14:textId="5A820CFC" w:rsidR="00C33E96" w:rsidRDefault="00C50DF2" w:rsidP="00C50DF2">
      <w:pPr>
        <w:rPr>
          <w:lang w:val="es-ES"/>
        </w:rPr>
      </w:pPr>
      <w:r w:rsidRPr="00C50DF2">
        <w:rPr>
          <w:lang w:val="es-ES"/>
        </w:rPr>
        <w:t xml:space="preserve">En conclusión, </w:t>
      </w:r>
      <w:r w:rsidR="00EB6E50">
        <w:rPr>
          <w:lang w:val="es-ES"/>
        </w:rPr>
        <w:t xml:space="preserve">el uso de </w:t>
      </w:r>
      <w:r w:rsidRPr="00C50DF2">
        <w:rPr>
          <w:lang w:val="es-ES"/>
        </w:rPr>
        <w:t>la telemática en tiempos de pandemia ha propiciado un aumento vertiginoso en las certificaciones de los servidores públicos</w:t>
      </w:r>
      <w:r w:rsidR="00EB6E50">
        <w:rPr>
          <w:lang w:val="es-ES"/>
        </w:rPr>
        <w:t xml:space="preserve"> en lo referente a contratación pública. </w:t>
      </w:r>
      <w:r w:rsidR="00237918">
        <w:rPr>
          <w:lang w:val="es-ES"/>
        </w:rPr>
        <w:t xml:space="preserve">Si bien se ha evidenciado un avance sin precedentes en el uso de la tecnología para continuar con el proceso de formación de los servidores públicos, es necesario recalcar que queda mucho por mejorar tanto en uso de la información disponible como en el uso de la tecnología con fines de formación profesional.  </w:t>
      </w:r>
      <w:r w:rsidR="00EB6E50">
        <w:rPr>
          <w:lang w:val="es-ES"/>
        </w:rPr>
        <w:t xml:space="preserve"> </w:t>
      </w:r>
    </w:p>
    <w:p w14:paraId="4A38FCFB" w14:textId="074E166F" w:rsidR="009660C6" w:rsidRDefault="009660C6" w:rsidP="00C50DF2">
      <w:pPr>
        <w:rPr>
          <w:lang w:val="es-ES"/>
        </w:rPr>
      </w:pPr>
    </w:p>
    <w:p w14:paraId="59BF4D5B" w14:textId="1B077C45" w:rsidR="009660C6" w:rsidRDefault="009660C6" w:rsidP="00C50DF2">
      <w:pPr>
        <w:rPr>
          <w:lang w:val="es-ES"/>
        </w:rPr>
      </w:pPr>
    </w:p>
    <w:p w14:paraId="09371F3D" w14:textId="22B6152B" w:rsidR="009660C6" w:rsidRDefault="009660C6" w:rsidP="00C50DF2">
      <w:pPr>
        <w:rPr>
          <w:lang w:val="es-ES"/>
        </w:rPr>
      </w:pPr>
    </w:p>
    <w:p w14:paraId="3E56DA54" w14:textId="25029BD6" w:rsidR="009660C6" w:rsidRDefault="009660C6" w:rsidP="00C50DF2">
      <w:pPr>
        <w:rPr>
          <w:lang w:val="es-ES"/>
        </w:rPr>
      </w:pPr>
    </w:p>
    <w:p w14:paraId="702139FB" w14:textId="45BA38D6" w:rsidR="009660C6" w:rsidRDefault="009660C6" w:rsidP="00C50DF2">
      <w:pPr>
        <w:rPr>
          <w:lang w:val="es-ES"/>
        </w:rPr>
      </w:pPr>
    </w:p>
    <w:p w14:paraId="14233DE4" w14:textId="270A06A2" w:rsidR="009660C6" w:rsidRDefault="009660C6" w:rsidP="00C50DF2">
      <w:pPr>
        <w:rPr>
          <w:lang w:val="es-ES"/>
        </w:rPr>
      </w:pPr>
    </w:p>
    <w:p w14:paraId="46AD2E2C" w14:textId="7CD12619" w:rsidR="009660C6" w:rsidRDefault="009660C6" w:rsidP="00C50DF2">
      <w:pPr>
        <w:rPr>
          <w:lang w:val="es-ES"/>
        </w:rPr>
      </w:pPr>
    </w:p>
    <w:p w14:paraId="7EAF7E4C" w14:textId="2D8D1522" w:rsidR="009660C6" w:rsidRDefault="009660C6" w:rsidP="00C50DF2">
      <w:pPr>
        <w:rPr>
          <w:lang w:val="es-ES"/>
        </w:rPr>
      </w:pPr>
    </w:p>
    <w:p w14:paraId="18708602" w14:textId="77777777" w:rsidR="009660C6" w:rsidRPr="00C33E96" w:rsidRDefault="009660C6" w:rsidP="00C50DF2">
      <w:pPr>
        <w:rPr>
          <w:lang w:val="es-ES"/>
        </w:rPr>
      </w:pPr>
    </w:p>
    <w:p w14:paraId="01B772F1" w14:textId="106B69D5" w:rsidR="00D43266" w:rsidRDefault="00D43266" w:rsidP="000F6E14">
      <w:pPr>
        <w:jc w:val="center"/>
        <w:rPr>
          <w:b/>
          <w:bCs/>
          <w:lang w:val="es-ES"/>
        </w:rPr>
      </w:pPr>
      <w:r>
        <w:rPr>
          <w:b/>
          <w:bCs/>
          <w:lang w:val="es-ES"/>
        </w:rPr>
        <w:lastRenderedPageBreak/>
        <w:t>BIBLIOGRAFÍA</w:t>
      </w:r>
    </w:p>
    <w:p w14:paraId="7BDD086B" w14:textId="77777777" w:rsidR="00F60F96" w:rsidRPr="00B23005" w:rsidRDefault="00F60F96" w:rsidP="00F60F96">
      <w:pPr>
        <w:ind w:left="426" w:hanging="426"/>
        <w:rPr>
          <w:lang w:val="es-ES"/>
        </w:rPr>
      </w:pPr>
      <w:r>
        <w:rPr>
          <w:lang w:val="es-ES"/>
        </w:rPr>
        <w:t xml:space="preserve">Arellano, P. (2020). </w:t>
      </w:r>
      <w:r w:rsidRPr="00B23005">
        <w:rPr>
          <w:i/>
          <w:iCs/>
          <w:lang w:val="es-ES"/>
        </w:rPr>
        <w:t>Gobierno electrónico</w:t>
      </w:r>
      <w:r>
        <w:rPr>
          <w:i/>
          <w:iCs/>
          <w:lang w:val="es-ES"/>
        </w:rPr>
        <w:t>.</w:t>
      </w:r>
      <w:r>
        <w:rPr>
          <w:lang w:val="es-ES"/>
        </w:rPr>
        <w:t xml:space="preserve"> DerechoEcuador.com. </w:t>
      </w:r>
      <w:r w:rsidRPr="00B23005">
        <w:rPr>
          <w:lang w:val="es-ES"/>
        </w:rPr>
        <w:t>https://www.derechoecuador.com/gobierno-electronico</w:t>
      </w:r>
    </w:p>
    <w:p w14:paraId="6998E349" w14:textId="77777777" w:rsidR="00F60F96" w:rsidRPr="00D16695" w:rsidRDefault="00F60F96" w:rsidP="00F60F96">
      <w:pPr>
        <w:ind w:left="426" w:hanging="426"/>
        <w:rPr>
          <w:lang w:val="en-US"/>
        </w:rPr>
      </w:pPr>
      <w:r w:rsidRPr="00D5281E">
        <w:rPr>
          <w:lang w:val="es-ES"/>
        </w:rPr>
        <w:t>Belzunegui</w:t>
      </w:r>
      <w:r>
        <w:rPr>
          <w:lang w:val="es-ES"/>
        </w:rPr>
        <w:t>, A., y</w:t>
      </w:r>
      <w:r w:rsidRPr="00D5281E">
        <w:rPr>
          <w:lang w:val="es-ES"/>
        </w:rPr>
        <w:t xml:space="preserve"> Garcés</w:t>
      </w:r>
      <w:r>
        <w:rPr>
          <w:lang w:val="es-ES"/>
        </w:rPr>
        <w:t xml:space="preserve">, A. (2020). </w:t>
      </w:r>
      <w:r w:rsidRPr="00D43266">
        <w:rPr>
          <w:lang w:val="en-US"/>
        </w:rPr>
        <w:t>Teleworking in the Context of the Covid-19 Crisis</w:t>
      </w:r>
      <w:r>
        <w:rPr>
          <w:lang w:val="en-US"/>
        </w:rPr>
        <w:t xml:space="preserve">. </w:t>
      </w:r>
      <w:r w:rsidRPr="00D16695">
        <w:rPr>
          <w:i/>
          <w:iCs/>
          <w:lang w:val="en-US"/>
        </w:rPr>
        <w:t>Sustainability 2020, 12</w:t>
      </w:r>
      <w:r w:rsidRPr="00D16695">
        <w:rPr>
          <w:lang w:val="en-US"/>
        </w:rPr>
        <w:t>(9). https://www.mdpi.com/2071-1050/12/9/3662/htm</w:t>
      </w:r>
    </w:p>
    <w:p w14:paraId="29544F72" w14:textId="77777777" w:rsidR="00F60F96" w:rsidRPr="00734AFA" w:rsidRDefault="00F60F96" w:rsidP="00F60F96">
      <w:pPr>
        <w:ind w:left="426" w:hanging="426"/>
        <w:rPr>
          <w:lang w:val="en-US"/>
        </w:rPr>
      </w:pPr>
      <w:r w:rsidRPr="00734AFA">
        <w:rPr>
          <w:lang w:val="en-US"/>
        </w:rPr>
        <w:t>Bilodeau,</w:t>
      </w:r>
      <w:r>
        <w:rPr>
          <w:lang w:val="en-US"/>
        </w:rPr>
        <w:t xml:space="preserve"> H.,</w:t>
      </w:r>
      <w:r w:rsidRPr="00734AFA">
        <w:rPr>
          <w:lang w:val="en-US"/>
        </w:rPr>
        <w:t xml:space="preserve"> Kehler</w:t>
      </w:r>
      <w:r>
        <w:rPr>
          <w:lang w:val="en-US"/>
        </w:rPr>
        <w:t xml:space="preserve">, A., </w:t>
      </w:r>
      <w:r w:rsidRPr="00734AFA">
        <w:rPr>
          <w:lang w:val="en-US"/>
        </w:rPr>
        <w:t>y Minnema</w:t>
      </w:r>
      <w:r>
        <w:rPr>
          <w:lang w:val="en-US"/>
        </w:rPr>
        <w:t xml:space="preserve">, N. (2021). </w:t>
      </w:r>
      <w:r w:rsidRPr="00734AFA">
        <w:rPr>
          <w:i/>
          <w:iCs/>
          <w:lang w:val="en-US"/>
        </w:rPr>
        <w:t>Internet use and COVID-19: How the pandemic increased the amount of time Canadians spend online</w:t>
      </w:r>
      <w:r>
        <w:rPr>
          <w:i/>
          <w:iCs/>
          <w:lang w:val="en-US"/>
        </w:rPr>
        <w:t xml:space="preserve">. </w:t>
      </w:r>
      <w:r>
        <w:rPr>
          <w:lang w:val="en-US"/>
        </w:rPr>
        <w:t xml:space="preserve">Statistics Canada. </w:t>
      </w:r>
      <w:r w:rsidRPr="00734AFA">
        <w:rPr>
          <w:i/>
          <w:iCs/>
          <w:lang w:val="en-US"/>
        </w:rPr>
        <w:t>https://www150.statcan.gc.ca/n1/pub/45-28-0001/2021001/article/00027-eng.htm</w:t>
      </w:r>
    </w:p>
    <w:p w14:paraId="1422115D" w14:textId="09413D7B" w:rsidR="004B1CD8" w:rsidRPr="004B1CD8" w:rsidRDefault="004B1CD8" w:rsidP="00F60F96">
      <w:pPr>
        <w:ind w:left="426" w:hanging="426"/>
        <w:rPr>
          <w:lang w:val="es-ES"/>
        </w:rPr>
      </w:pPr>
      <w:r>
        <w:rPr>
          <w:lang w:val="es-ES"/>
        </w:rPr>
        <w:t xml:space="preserve">García, A. (2020). </w:t>
      </w:r>
      <w:r w:rsidRPr="004B1CD8">
        <w:rPr>
          <w:i/>
          <w:iCs/>
          <w:lang w:val="es-ES"/>
        </w:rPr>
        <w:t>Dos millones de firmas electrónicas, validadas</w:t>
      </w:r>
      <w:r>
        <w:rPr>
          <w:lang w:val="es-ES"/>
        </w:rPr>
        <w:t xml:space="preserve">. El Comercio. </w:t>
      </w:r>
      <w:r w:rsidRPr="004B1CD8">
        <w:rPr>
          <w:lang w:val="es-ES"/>
        </w:rPr>
        <w:t>https://www.elcomercio.com/actualidad/politica/firmas-electronicas-validadas-tramites-digitalizacion.html</w:t>
      </w:r>
    </w:p>
    <w:p w14:paraId="59761C7C" w14:textId="68907B29" w:rsidR="00303264" w:rsidRPr="00303264" w:rsidRDefault="00303264" w:rsidP="00303264">
      <w:pPr>
        <w:ind w:left="426" w:hanging="426"/>
        <w:rPr>
          <w:lang w:val="es-ES"/>
        </w:rPr>
      </w:pPr>
      <w:r>
        <w:rPr>
          <w:lang w:val="es-ES"/>
        </w:rPr>
        <w:t xml:space="preserve">González, H. (2018). </w:t>
      </w:r>
      <w:r w:rsidRPr="00303264">
        <w:rPr>
          <w:i/>
          <w:iCs/>
          <w:lang w:val="es-ES"/>
        </w:rPr>
        <w:t>Firma Electrónica en el Ecuador y su beneficio en la gestión empresarial</w:t>
      </w:r>
      <w:r>
        <w:rPr>
          <w:i/>
          <w:iCs/>
          <w:lang w:val="es-ES"/>
        </w:rPr>
        <w:t xml:space="preserve">. </w:t>
      </w:r>
      <w:r>
        <w:rPr>
          <w:lang w:val="es-ES"/>
        </w:rPr>
        <w:t xml:space="preserve">Banco Central del Ecuador. </w:t>
      </w:r>
      <w:r w:rsidRPr="00303264">
        <w:rPr>
          <w:lang w:val="es-ES"/>
        </w:rPr>
        <w:t>https://www.eci.bce.ec/documents/10180/28929/Presentaci%C3%B3n+Firma+electr%C3%B3nica.pdf/7644b0c6-2d5f-4698-98d8-69c7191b292b</w:t>
      </w:r>
    </w:p>
    <w:p w14:paraId="22789FC8" w14:textId="3A90A0D0" w:rsidR="00F60F96" w:rsidRDefault="00F60F96" w:rsidP="00F60F96">
      <w:pPr>
        <w:ind w:left="426" w:hanging="426"/>
        <w:rPr>
          <w:lang w:val="es-ES"/>
        </w:rPr>
      </w:pPr>
      <w:r>
        <w:rPr>
          <w:lang w:val="es-ES"/>
        </w:rPr>
        <w:t xml:space="preserve">Puente, J. (2021). </w:t>
      </w:r>
      <w:r w:rsidRPr="00CE464E">
        <w:rPr>
          <w:i/>
          <w:iCs/>
          <w:lang w:val="es-ES"/>
        </w:rPr>
        <w:t>Certificación -2021 para operadores del SNCP</w:t>
      </w:r>
      <w:r>
        <w:rPr>
          <w:lang w:val="es-ES"/>
        </w:rPr>
        <w:t xml:space="preserve">. SERCOP. </w:t>
      </w:r>
      <w:r w:rsidRPr="00CE464E">
        <w:rPr>
          <w:lang w:val="es-ES"/>
        </w:rPr>
        <w:t>https://portal.compraspublicas.gob.ec/sercop/wp-content/plugins/download-monitor/download.php?id=10248&amp;force=1</w:t>
      </w:r>
    </w:p>
    <w:p w14:paraId="08968D8E" w14:textId="77777777" w:rsidR="00F60F96" w:rsidRPr="002027A1" w:rsidRDefault="00F60F96" w:rsidP="00F60F96">
      <w:pPr>
        <w:ind w:left="426" w:hanging="426"/>
        <w:rPr>
          <w:lang w:val="es-ES"/>
        </w:rPr>
      </w:pPr>
      <w:r w:rsidRPr="002027A1">
        <w:rPr>
          <w:lang w:val="es-ES"/>
        </w:rPr>
        <w:t>Servicio Nacional de Contratación Pública</w:t>
      </w:r>
      <w:r>
        <w:rPr>
          <w:lang w:val="es-ES"/>
        </w:rPr>
        <w:t xml:space="preserve">. (2020). </w:t>
      </w:r>
      <w:r w:rsidRPr="002027A1">
        <w:rPr>
          <w:i/>
          <w:iCs/>
          <w:lang w:val="es-ES"/>
        </w:rPr>
        <w:t>Capacitaciones virtuales</w:t>
      </w:r>
      <w:r>
        <w:rPr>
          <w:i/>
          <w:iCs/>
          <w:lang w:val="es-ES"/>
        </w:rPr>
        <w:t>.</w:t>
      </w:r>
      <w:r>
        <w:rPr>
          <w:lang w:val="es-ES"/>
        </w:rPr>
        <w:t xml:space="preserve"> SERCOP. </w:t>
      </w:r>
      <w:r w:rsidRPr="002027A1">
        <w:rPr>
          <w:lang w:val="es-ES"/>
        </w:rPr>
        <w:t>https://portal.compraspublicas.gob.ec/sercop/capacitaciones-virtuales/</w:t>
      </w:r>
    </w:p>
    <w:sectPr w:rsidR="00F60F96" w:rsidRPr="002027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732E" w14:textId="77777777" w:rsidR="00FD3BB5" w:rsidRDefault="00FD3BB5" w:rsidP="00B957D1">
      <w:pPr>
        <w:spacing w:after="0" w:line="240" w:lineRule="auto"/>
      </w:pPr>
      <w:r>
        <w:separator/>
      </w:r>
    </w:p>
  </w:endnote>
  <w:endnote w:type="continuationSeparator" w:id="0">
    <w:p w14:paraId="0B698F6D" w14:textId="77777777" w:rsidR="00FD3BB5" w:rsidRDefault="00FD3BB5" w:rsidP="00B9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0CD74" w14:textId="77777777" w:rsidR="00FD3BB5" w:rsidRDefault="00FD3BB5" w:rsidP="00B957D1">
      <w:pPr>
        <w:spacing w:after="0" w:line="240" w:lineRule="auto"/>
      </w:pPr>
      <w:r>
        <w:separator/>
      </w:r>
    </w:p>
  </w:footnote>
  <w:footnote w:type="continuationSeparator" w:id="0">
    <w:p w14:paraId="3C8598CE" w14:textId="77777777" w:rsidR="00FD3BB5" w:rsidRDefault="00FD3BB5" w:rsidP="00B957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7D83"/>
    <w:multiLevelType w:val="hybridMultilevel"/>
    <w:tmpl w:val="9F587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317211EF"/>
    <w:multiLevelType w:val="hybridMultilevel"/>
    <w:tmpl w:val="532E73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2"/>
    <w:rsid w:val="00002968"/>
    <w:rsid w:val="000272A2"/>
    <w:rsid w:val="00032318"/>
    <w:rsid w:val="00036FD1"/>
    <w:rsid w:val="00043C0F"/>
    <w:rsid w:val="00071825"/>
    <w:rsid w:val="000B4F77"/>
    <w:rsid w:val="000E33B7"/>
    <w:rsid w:val="000F3D45"/>
    <w:rsid w:val="000F54F5"/>
    <w:rsid w:val="000F6E14"/>
    <w:rsid w:val="00123EB9"/>
    <w:rsid w:val="00127ABA"/>
    <w:rsid w:val="00137E98"/>
    <w:rsid w:val="0015737E"/>
    <w:rsid w:val="0018734D"/>
    <w:rsid w:val="001F4964"/>
    <w:rsid w:val="002027A1"/>
    <w:rsid w:val="00237918"/>
    <w:rsid w:val="002443C7"/>
    <w:rsid w:val="00253D5C"/>
    <w:rsid w:val="002634D9"/>
    <w:rsid w:val="00272BD1"/>
    <w:rsid w:val="002A7D42"/>
    <w:rsid w:val="002B514A"/>
    <w:rsid w:val="002D3F31"/>
    <w:rsid w:val="002E3644"/>
    <w:rsid w:val="002E5E9A"/>
    <w:rsid w:val="00300DAB"/>
    <w:rsid w:val="00303264"/>
    <w:rsid w:val="00306A5F"/>
    <w:rsid w:val="00310A1F"/>
    <w:rsid w:val="00324B74"/>
    <w:rsid w:val="00381D59"/>
    <w:rsid w:val="004048D1"/>
    <w:rsid w:val="00440FA2"/>
    <w:rsid w:val="0044576B"/>
    <w:rsid w:val="00445992"/>
    <w:rsid w:val="00481742"/>
    <w:rsid w:val="004B1CD8"/>
    <w:rsid w:val="004C290D"/>
    <w:rsid w:val="00511CA4"/>
    <w:rsid w:val="00555B0E"/>
    <w:rsid w:val="00567662"/>
    <w:rsid w:val="00576284"/>
    <w:rsid w:val="00592313"/>
    <w:rsid w:val="005A5772"/>
    <w:rsid w:val="005B04D9"/>
    <w:rsid w:val="005D706D"/>
    <w:rsid w:val="0068373A"/>
    <w:rsid w:val="00696563"/>
    <w:rsid w:val="006A0B73"/>
    <w:rsid w:val="00717324"/>
    <w:rsid w:val="00722DA2"/>
    <w:rsid w:val="00734AFA"/>
    <w:rsid w:val="00775C9C"/>
    <w:rsid w:val="0078144F"/>
    <w:rsid w:val="00784872"/>
    <w:rsid w:val="007C562C"/>
    <w:rsid w:val="007F00B2"/>
    <w:rsid w:val="007F1E40"/>
    <w:rsid w:val="008511CD"/>
    <w:rsid w:val="008855CE"/>
    <w:rsid w:val="008A506D"/>
    <w:rsid w:val="008C2234"/>
    <w:rsid w:val="008C647F"/>
    <w:rsid w:val="008E04C4"/>
    <w:rsid w:val="00933540"/>
    <w:rsid w:val="009349AE"/>
    <w:rsid w:val="00936E2C"/>
    <w:rsid w:val="009455FC"/>
    <w:rsid w:val="009660C6"/>
    <w:rsid w:val="00980065"/>
    <w:rsid w:val="00982369"/>
    <w:rsid w:val="009A3D34"/>
    <w:rsid w:val="009C2BF9"/>
    <w:rsid w:val="009C42FB"/>
    <w:rsid w:val="00A26478"/>
    <w:rsid w:val="00A54876"/>
    <w:rsid w:val="00AB6C99"/>
    <w:rsid w:val="00AC0DEE"/>
    <w:rsid w:val="00AC13B2"/>
    <w:rsid w:val="00AD7617"/>
    <w:rsid w:val="00AF034B"/>
    <w:rsid w:val="00B16A67"/>
    <w:rsid w:val="00B23005"/>
    <w:rsid w:val="00B35586"/>
    <w:rsid w:val="00B427FE"/>
    <w:rsid w:val="00B57F8A"/>
    <w:rsid w:val="00B957D1"/>
    <w:rsid w:val="00BA4AA9"/>
    <w:rsid w:val="00BB6538"/>
    <w:rsid w:val="00BD70EC"/>
    <w:rsid w:val="00BE1191"/>
    <w:rsid w:val="00BE3C62"/>
    <w:rsid w:val="00BE730E"/>
    <w:rsid w:val="00BF7BB2"/>
    <w:rsid w:val="00C33E96"/>
    <w:rsid w:val="00C50DF2"/>
    <w:rsid w:val="00C863B7"/>
    <w:rsid w:val="00C94196"/>
    <w:rsid w:val="00CE464E"/>
    <w:rsid w:val="00CF26F3"/>
    <w:rsid w:val="00D16695"/>
    <w:rsid w:val="00D23BA6"/>
    <w:rsid w:val="00D43266"/>
    <w:rsid w:val="00D5281E"/>
    <w:rsid w:val="00D64373"/>
    <w:rsid w:val="00D647E0"/>
    <w:rsid w:val="00D667C0"/>
    <w:rsid w:val="00D924D3"/>
    <w:rsid w:val="00DD39BE"/>
    <w:rsid w:val="00DF1964"/>
    <w:rsid w:val="00E34234"/>
    <w:rsid w:val="00E643B5"/>
    <w:rsid w:val="00EB6E50"/>
    <w:rsid w:val="00ED1341"/>
    <w:rsid w:val="00EF6184"/>
    <w:rsid w:val="00F60F96"/>
    <w:rsid w:val="00F90EB7"/>
    <w:rsid w:val="00FA55BF"/>
    <w:rsid w:val="00FB133B"/>
    <w:rsid w:val="00FD3B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2286"/>
  <w15:chartTrackingRefBased/>
  <w15:docId w15:val="{8E4818D3-27FE-4336-91FC-313D2B7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34"/>
    <w:pPr>
      <w:spacing w:line="360" w:lineRule="auto"/>
      <w:jc w:val="both"/>
    </w:pPr>
    <w:rPr>
      <w:rFonts w:ascii="Arial" w:hAnsi="Arial"/>
      <w:color w:val="0D0D0D" w:themeColor="text1" w:themeTint="F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7F8A"/>
    <w:rPr>
      <w:color w:val="0563C1" w:themeColor="hyperlink"/>
      <w:u w:val="single"/>
    </w:rPr>
  </w:style>
  <w:style w:type="character" w:customStyle="1" w:styleId="UnresolvedMention">
    <w:name w:val="Unresolved Mention"/>
    <w:basedOn w:val="Fuentedeprrafopredeter"/>
    <w:uiPriority w:val="99"/>
    <w:semiHidden/>
    <w:unhideWhenUsed/>
    <w:rsid w:val="00B57F8A"/>
    <w:rPr>
      <w:color w:val="605E5C"/>
      <w:shd w:val="clear" w:color="auto" w:fill="E1DFDD"/>
    </w:rPr>
  </w:style>
  <w:style w:type="paragraph" w:styleId="Encabezado">
    <w:name w:val="header"/>
    <w:basedOn w:val="Normal"/>
    <w:link w:val="EncabezadoCar"/>
    <w:uiPriority w:val="99"/>
    <w:unhideWhenUsed/>
    <w:rsid w:val="00B957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57D1"/>
    <w:rPr>
      <w:rFonts w:ascii="Arial" w:hAnsi="Arial"/>
      <w:color w:val="0D0D0D" w:themeColor="text1" w:themeTint="F2"/>
      <w:sz w:val="24"/>
    </w:rPr>
  </w:style>
  <w:style w:type="paragraph" w:styleId="Piedepgina">
    <w:name w:val="footer"/>
    <w:basedOn w:val="Normal"/>
    <w:link w:val="PiedepginaCar"/>
    <w:uiPriority w:val="99"/>
    <w:unhideWhenUsed/>
    <w:rsid w:val="00B957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57D1"/>
    <w:rPr>
      <w:rFonts w:ascii="Arial" w:hAnsi="Arial"/>
      <w:color w:val="0D0D0D" w:themeColor="text1" w:themeTint="F2"/>
      <w:sz w:val="24"/>
    </w:rPr>
  </w:style>
  <w:style w:type="paragraph" w:styleId="Descripcin">
    <w:name w:val="caption"/>
    <w:basedOn w:val="Normal"/>
    <w:next w:val="Normal"/>
    <w:uiPriority w:val="35"/>
    <w:unhideWhenUsed/>
    <w:qFormat/>
    <w:rsid w:val="00775C9C"/>
    <w:pPr>
      <w:spacing w:after="200" w:line="240" w:lineRule="auto"/>
    </w:pPr>
    <w:rPr>
      <w:i/>
      <w:iCs/>
      <w:color w:val="44546A" w:themeColor="text2"/>
      <w:sz w:val="18"/>
      <w:szCs w:val="18"/>
    </w:rPr>
  </w:style>
  <w:style w:type="paragraph" w:styleId="Prrafodelista">
    <w:name w:val="List Paragraph"/>
    <w:basedOn w:val="Normal"/>
    <w:uiPriority w:val="34"/>
    <w:qFormat/>
    <w:rsid w:val="00E643B5"/>
    <w:pPr>
      <w:ind w:left="720"/>
      <w:contextualSpacing/>
    </w:pPr>
  </w:style>
  <w:style w:type="character" w:styleId="Refdecomentario">
    <w:name w:val="annotation reference"/>
    <w:basedOn w:val="Fuentedeprrafopredeter"/>
    <w:uiPriority w:val="99"/>
    <w:semiHidden/>
    <w:unhideWhenUsed/>
    <w:rsid w:val="00C33E96"/>
    <w:rPr>
      <w:sz w:val="16"/>
      <w:szCs w:val="16"/>
    </w:rPr>
  </w:style>
  <w:style w:type="paragraph" w:styleId="Textocomentario">
    <w:name w:val="annotation text"/>
    <w:basedOn w:val="Normal"/>
    <w:link w:val="TextocomentarioCar"/>
    <w:uiPriority w:val="99"/>
    <w:semiHidden/>
    <w:unhideWhenUsed/>
    <w:rsid w:val="00C33E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E96"/>
    <w:rPr>
      <w:rFonts w:ascii="Arial" w:hAnsi="Arial"/>
      <w:color w:val="0D0D0D" w:themeColor="text1" w:themeTint="F2"/>
      <w:sz w:val="20"/>
      <w:szCs w:val="20"/>
    </w:rPr>
  </w:style>
  <w:style w:type="paragraph" w:styleId="Asuntodelcomentario">
    <w:name w:val="annotation subject"/>
    <w:basedOn w:val="Textocomentario"/>
    <w:next w:val="Textocomentario"/>
    <w:link w:val="AsuntodelcomentarioCar"/>
    <w:uiPriority w:val="99"/>
    <w:semiHidden/>
    <w:unhideWhenUsed/>
    <w:rsid w:val="00C33E96"/>
    <w:rPr>
      <w:b/>
      <w:bCs/>
    </w:rPr>
  </w:style>
  <w:style w:type="character" w:customStyle="1" w:styleId="AsuntodelcomentarioCar">
    <w:name w:val="Asunto del comentario Car"/>
    <w:basedOn w:val="TextocomentarioCar"/>
    <w:link w:val="Asuntodelcomentario"/>
    <w:uiPriority w:val="99"/>
    <w:semiHidden/>
    <w:rsid w:val="00C33E96"/>
    <w:rPr>
      <w:rFonts w:ascii="Arial" w:hAnsi="Arial"/>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6" Type="http://schemas.openxmlformats.org/officeDocument/2006/relationships/oleObject" Target="../embeddings/oleObject2.bin"/><Relationship Id="rId5" Type="http://schemas.openxmlformats.org/officeDocument/2006/relationships/hyperlink" Target="https://www.lopezribadeneira.com/es/publicaciones/noticias/1176-nuevas-reglas-del-sercop-para-la-metodologia-del-proceso-sancionador-en-compras-publicas" TargetMode="External"/><Relationship Id="rId4"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95000"/>
                    <a:lumOff val="5000"/>
                  </a:schemeClr>
                </a:solidFill>
                <a:latin typeface="Arial" panose="020B0604020202020204" pitchFamily="34" charset="0"/>
                <a:ea typeface="+mn-ea"/>
                <a:cs typeface="Arial" panose="020B0604020202020204" pitchFamily="34" charset="0"/>
              </a:defRPr>
            </a:pPr>
            <a:r>
              <a:rPr lang="es-EC" sz="1100" b="1"/>
              <a:t>Total de beneficiarios de la certificaciones</a:t>
            </a:r>
            <a:r>
              <a:rPr lang="es-EC" sz="1100" b="1" baseline="0"/>
              <a:t> emitidas por el SERCOP</a:t>
            </a:r>
            <a:endParaRPr lang="es-EC" sz="1100" b="1"/>
          </a:p>
        </c:rich>
      </c:tx>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title>
    <c:autoTitleDeleted val="0"/>
    <c:plotArea>
      <c:layout/>
      <c:barChart>
        <c:barDir val="col"/>
        <c:grouping val="clustered"/>
        <c:varyColors val="0"/>
        <c:ser>
          <c:idx val="0"/>
          <c:order val="0"/>
          <c:tx>
            <c:strRef>
              <c:f>'[Gráfico en Microsoft PowerPoint]Hoja2'!$A$2</c:f>
              <c:strCache>
                <c:ptCount val="1"/>
                <c:pt idx="0">
                  <c:v>Aprobados</c:v>
                </c:pt>
              </c:strCache>
            </c:strRef>
          </c:tx>
          <c:spPr>
            <a:solidFill>
              <a:schemeClr val="accent1">
                <a:lumMod val="50000"/>
              </a:schemeClr>
            </a:solidFill>
            <a:ln>
              <a:noFill/>
            </a:ln>
            <a:effectLst/>
          </c:spPr>
          <c:invertIfNegative val="0"/>
          <c:dLbls>
            <c:dLbl>
              <c:idx val="2"/>
              <c:layout>
                <c:manualLayout>
                  <c:x val="-2.857142857142868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7D-4E5C-A51B-0979087828CE}"/>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'[Gráfico en Microsoft PowerPoint]Hoja2'!$B$1:$D$1</c:f>
              <c:numCache>
                <c:formatCode>General</c:formatCode>
                <c:ptCount val="3"/>
                <c:pt idx="0">
                  <c:v>2018</c:v>
                </c:pt>
                <c:pt idx="1">
                  <c:v>2019</c:v>
                </c:pt>
                <c:pt idx="2">
                  <c:v>2021</c:v>
                </c:pt>
              </c:numCache>
            </c:numRef>
          </c:cat>
          <c:val>
            <c:numRef>
              <c:f>'[Gráfico en Microsoft PowerPoint]Hoja2'!$B$2:$D$2</c:f>
              <c:numCache>
                <c:formatCode>General</c:formatCode>
                <c:ptCount val="3"/>
                <c:pt idx="0">
                  <c:v>403</c:v>
                </c:pt>
                <c:pt idx="1">
                  <c:v>336</c:v>
                </c:pt>
                <c:pt idx="2">
                  <c:v>36207</c:v>
                </c:pt>
              </c:numCache>
            </c:numRef>
          </c:val>
          <c:extLst xmlns:c16r2="http://schemas.microsoft.com/office/drawing/2015/06/chart">
            <c:ext xmlns:c16="http://schemas.microsoft.com/office/drawing/2014/chart" uri="{C3380CC4-5D6E-409C-BE32-E72D297353CC}">
              <c16:uniqueId val="{00000001-3D7D-4E5C-A51B-0979087828CE}"/>
            </c:ext>
          </c:extLst>
        </c:ser>
        <c:ser>
          <c:idx val="1"/>
          <c:order val="1"/>
          <c:tx>
            <c:strRef>
              <c:f>'[Gráfico en Microsoft PowerPoint]Hoja2'!$A$3</c:f>
              <c:strCache>
                <c:ptCount val="1"/>
                <c:pt idx="0">
                  <c:v>Inscritos</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'[Gráfico en Microsoft PowerPoint]Hoja2'!$B$1:$D$1</c:f>
              <c:numCache>
                <c:formatCode>General</c:formatCode>
                <c:ptCount val="3"/>
                <c:pt idx="0">
                  <c:v>2018</c:v>
                </c:pt>
                <c:pt idx="1">
                  <c:v>2019</c:v>
                </c:pt>
                <c:pt idx="2">
                  <c:v>2021</c:v>
                </c:pt>
              </c:numCache>
            </c:numRef>
          </c:cat>
          <c:val>
            <c:numRef>
              <c:f>'[Gráfico en Microsoft PowerPoint]Hoja2'!$B$3:$D$3</c:f>
              <c:numCache>
                <c:formatCode>General</c:formatCode>
                <c:ptCount val="3"/>
                <c:pt idx="0">
                  <c:v>4825</c:v>
                </c:pt>
                <c:pt idx="1">
                  <c:v>3238</c:v>
                </c:pt>
                <c:pt idx="2">
                  <c:v>40000</c:v>
                </c:pt>
              </c:numCache>
            </c:numRef>
          </c:val>
          <c:extLst xmlns:c16r2="http://schemas.microsoft.com/office/drawing/2015/06/chart">
            <c:ext xmlns:c16="http://schemas.microsoft.com/office/drawing/2014/chart" uri="{C3380CC4-5D6E-409C-BE32-E72D297353CC}">
              <c16:uniqueId val="{00000002-3D7D-4E5C-A51B-0979087828CE}"/>
            </c:ext>
          </c:extLst>
        </c:ser>
        <c:dLbls>
          <c:showLegendKey val="0"/>
          <c:showVal val="0"/>
          <c:showCatName val="0"/>
          <c:showSerName val="0"/>
          <c:showPercent val="0"/>
          <c:showBubbleSize val="0"/>
        </c:dLbls>
        <c:gapWidth val="219"/>
        <c:axId val="284475304"/>
        <c:axId val="270984128"/>
      </c:barChart>
      <c:catAx>
        <c:axId val="28447530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crossAx val="270984128"/>
        <c:crosses val="autoZero"/>
        <c:auto val="1"/>
        <c:lblAlgn val="ctr"/>
        <c:lblOffset val="100"/>
        <c:noMultiLvlLbl val="0"/>
      </c:catAx>
      <c:valAx>
        <c:axId val="270984128"/>
        <c:scaling>
          <c:orientation val="minMax"/>
          <c:max val="40000"/>
          <c:min val="0"/>
        </c:scaling>
        <c:delete val="0"/>
        <c:axPos val="l"/>
        <c:numFmt formatCode="General" sourceLinked="1"/>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crossAx val="284475304"/>
        <c:crosses val="autoZero"/>
        <c:crossBetween val="between"/>
        <c:majorUnit val="10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a:solidFill>
            <a:schemeClr val="tx1">
              <a:lumMod val="95000"/>
              <a:lumOff val="5000"/>
            </a:schemeClr>
          </a:solidFill>
          <a:latin typeface="Arial" panose="020B0604020202020204" pitchFamily="34" charset="0"/>
          <a:cs typeface="Arial" panose="020B0604020202020204" pitchFamily="34" charset="0"/>
        </a:defRPr>
      </a:pPr>
      <a:endParaRPr lang="es-EC"/>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95000"/>
                    <a:lumOff val="5000"/>
                  </a:schemeClr>
                </a:solidFill>
                <a:latin typeface="Arial" panose="020B0604020202020204" pitchFamily="34" charset="0"/>
                <a:ea typeface="+mn-ea"/>
                <a:cs typeface="Arial" panose="020B0604020202020204" pitchFamily="34" charset="0"/>
              </a:defRPr>
            </a:pPr>
            <a:r>
              <a:rPr lang="es-EC" sz="1100" b="1"/>
              <a:t>Porcentaje de aprobación de los cursos del SERCOP</a:t>
            </a:r>
          </a:p>
        </c:rich>
      </c:tx>
      <c:layout>
        <c:manualLayout>
          <c:xMode val="edge"/>
          <c:yMode val="edge"/>
          <c:x val="0.18203455818022748"/>
          <c:y val="2.7777777777777776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title>
    <c:autoTitleDeleted val="0"/>
    <c:plotArea>
      <c:layout/>
      <c:scatterChart>
        <c:scatterStyle val="smoothMarker"/>
        <c:varyColors val="0"/>
        <c:ser>
          <c:idx val="0"/>
          <c:order val="0"/>
          <c:spPr>
            <a:ln w="19050" cap="rnd">
              <a:solidFill>
                <a:srgbClr val="C00000"/>
              </a:solidFill>
              <a:prstDash val="lgDash"/>
              <a:round/>
            </a:ln>
            <a:effectLst/>
          </c:spPr>
          <c:marker>
            <c:symbol val="circle"/>
            <c:size val="5"/>
            <c:spPr>
              <a:solidFill>
                <a:schemeClr val="tx1">
                  <a:lumMod val="95000"/>
                  <a:lumOff val="5000"/>
                </a:schemeClr>
              </a:solidFill>
              <a:ln w="9525">
                <a:noFill/>
              </a:ln>
              <a:effectLst/>
            </c:spPr>
          </c:marker>
          <c:dLbls>
            <c:dLbl>
              <c:idx val="0"/>
              <c:layout>
                <c:manualLayout>
                  <c:x val="-6.3265529308836272E-3"/>
                  <c:y val="-6.246536891221947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F4-4E3B-B419-2A2B1177B821}"/>
                </c:ext>
                <c:ext xmlns:c15="http://schemas.microsoft.com/office/drawing/2012/chart" uri="{CE6537A1-D6FC-4f65-9D91-7224C49458BB}">
                  <c15:layout/>
                </c:ext>
              </c:extLst>
            </c:dLbl>
            <c:dLbl>
              <c:idx val="2"/>
              <c:layout>
                <c:manualLayout>
                  <c:x val="-6.7618110236220372E-2"/>
                  <c:y val="-4.39468503937008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F4-4E3B-B419-2A2B1177B82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'[Gráfico en Microsoft PowerPoint]Hoja2'!$A$8:$C$8</c:f>
              <c:numCache>
                <c:formatCode>General</c:formatCode>
                <c:ptCount val="3"/>
                <c:pt idx="0">
                  <c:v>2018</c:v>
                </c:pt>
                <c:pt idx="1">
                  <c:v>2019</c:v>
                </c:pt>
                <c:pt idx="2">
                  <c:v>2021</c:v>
                </c:pt>
              </c:numCache>
            </c:numRef>
          </c:xVal>
          <c:yVal>
            <c:numRef>
              <c:f>'[Gráfico en Microsoft PowerPoint]Hoja2'!$A$9:$C$9</c:f>
              <c:numCache>
                <c:formatCode>0.00</c:formatCode>
                <c:ptCount val="3"/>
                <c:pt idx="0">
                  <c:v>13</c:v>
                </c:pt>
                <c:pt idx="1">
                  <c:v>22</c:v>
                </c:pt>
                <c:pt idx="2">
                  <c:v>90.52</c:v>
                </c:pt>
              </c:numCache>
            </c:numRef>
          </c:yVal>
          <c:smooth val="1"/>
          <c:extLst xmlns:c16r2="http://schemas.microsoft.com/office/drawing/2015/06/chart">
            <c:ext xmlns:c16="http://schemas.microsoft.com/office/drawing/2014/chart" uri="{C3380CC4-5D6E-409C-BE32-E72D297353CC}">
              <c16:uniqueId val="{00000002-3BF4-4E3B-B419-2A2B1177B821}"/>
            </c:ext>
          </c:extLst>
        </c:ser>
        <c:dLbls>
          <c:showLegendKey val="0"/>
          <c:showVal val="0"/>
          <c:showCatName val="0"/>
          <c:showSerName val="0"/>
          <c:showPercent val="0"/>
          <c:showBubbleSize val="0"/>
        </c:dLbls>
        <c:axId val="283813880"/>
        <c:axId val="283826568"/>
      </c:scatterChart>
      <c:valAx>
        <c:axId val="283813880"/>
        <c:scaling>
          <c:orientation val="minMax"/>
          <c:max val="2021"/>
          <c:min val="2018"/>
        </c:scaling>
        <c:delete val="0"/>
        <c:axPos val="b"/>
        <c:title>
          <c:tx>
            <c:rich>
              <a:bodyPr rot="0" spcFirstLastPara="1" vertOverflow="ellipsis" vert="horz" wrap="square" anchor="ctr" anchorCtr="1"/>
              <a:lstStyle/>
              <a:p>
                <a:pPr>
                  <a:defRPr sz="10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en-US" b="1"/>
                  <a:t>Año</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title>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crossAx val="283826568"/>
        <c:crosses val="autoZero"/>
        <c:crossBetween val="midCat"/>
        <c:majorUnit val="1"/>
      </c:valAx>
      <c:valAx>
        <c:axId val="28382656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r>
                  <a:rPr lang="en-US" b="1"/>
                  <a:t>%</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title>
        <c:numFmt formatCode="#,##0.00" sourceLinked="0"/>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es-EC"/>
          </a:p>
        </c:txPr>
        <c:crossAx val="283813880"/>
        <c:crosses val="autoZero"/>
        <c:crossBetween val="midCat"/>
        <c:majorUnit val="20"/>
      </c:valAx>
      <c:spPr>
        <a:blipFill dpi="0" rotWithShape="1">
          <a:blip xmlns:r="http://schemas.openxmlformats.org/officeDocument/2006/relationships" r:embed="rId4">
            <a:alphaModFix amt="46000"/>
            <a:extLst>
              <a:ext uri="{837473B0-CC2E-450A-ABE3-18F120FF3D39}">
                <a1611:picAttrSrcUrl xmlns:a1611="http://schemas.microsoft.com/office/drawing/2016/11/main" xmlns:c16r2="http://schemas.microsoft.com/office/drawing/2015/06/chart" xmlns="" r:id="rId5"/>
              </a:ext>
            </a:extLst>
          </a:blip>
          <a:srcRect/>
          <a:stretch>
            <a:fillRect/>
          </a:stretch>
        </a:blip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Text" lastClr="000000">
          <a:lumMod val="95000"/>
          <a:lumOff val="5000"/>
        </a:sysClr>
      </a:solidFill>
      <a:round/>
    </a:ln>
    <a:effectLst/>
  </c:spPr>
  <c:txPr>
    <a:bodyPr/>
    <a:lstStyle/>
    <a:p>
      <a:pPr>
        <a:defRPr>
          <a:solidFill>
            <a:schemeClr val="tx1">
              <a:lumMod val="95000"/>
              <a:lumOff val="5000"/>
            </a:schemeClr>
          </a:solidFill>
          <a:latin typeface="Arial" panose="020B0604020202020204" pitchFamily="34" charset="0"/>
          <a:cs typeface="Arial" panose="020B0604020202020204" pitchFamily="34" charset="0"/>
        </a:defRPr>
      </a:pPr>
      <a:endParaRPr lang="es-EC"/>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F520-EA96-45BF-8E83-B4A50EEB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1852</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zm</dc:creator>
  <cp:keywords/>
  <dc:description/>
  <cp:lastModifiedBy>CUBÍCULO-005</cp:lastModifiedBy>
  <cp:revision>15</cp:revision>
  <cp:lastPrinted>2021-09-12T22:36:00Z</cp:lastPrinted>
  <dcterms:created xsi:type="dcterms:W3CDTF">2021-09-11T20:36:00Z</dcterms:created>
  <dcterms:modified xsi:type="dcterms:W3CDTF">2022-02-15T13:41:00Z</dcterms:modified>
</cp:coreProperties>
</file>